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6CFE58" w14:textId="77777777" w:rsidR="00BC5AFF" w:rsidRDefault="001C2BDB">
      <w:pPr>
        <w:spacing w:after="0"/>
        <w:ind w:left="84"/>
        <w:jc w:val="center"/>
      </w:pPr>
      <w:r>
        <w:rPr>
          <w:rFonts w:ascii="Arial" w:eastAsia="Arial" w:hAnsi="Arial" w:cs="Arial"/>
          <w:b/>
          <w:color w:val="0000FF"/>
          <w:sz w:val="32"/>
        </w:rPr>
        <w:t xml:space="preserve"> </w:t>
      </w:r>
    </w:p>
    <w:p w14:paraId="236656EE" w14:textId="77777777" w:rsidR="00BC5AFF" w:rsidRDefault="00C175E9" w:rsidP="00C175E9">
      <w:pPr>
        <w:tabs>
          <w:tab w:val="left" w:pos="3708"/>
        </w:tabs>
        <w:spacing w:after="0"/>
        <w:ind w:left="2"/>
        <w:jc w:val="center"/>
      </w:pPr>
      <w:r>
        <w:rPr>
          <w:rFonts w:ascii="Arial" w:eastAsia="Arial" w:hAnsi="Arial" w:cs="Arial"/>
          <w:b/>
          <w:noProof/>
          <w:color w:val="0000FF"/>
          <w:sz w:val="32"/>
        </w:rPr>
        <w:drawing>
          <wp:inline distT="0" distB="0" distL="0" distR="0" wp14:anchorId="60089189" wp14:editId="43C41C19">
            <wp:extent cx="2300649" cy="1104900"/>
            <wp:effectExtent l="0" t="0" r="444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13974" cy="1111300"/>
                    </a:xfrm>
                    <a:prstGeom prst="rect">
                      <a:avLst/>
                    </a:prstGeom>
                    <a:noFill/>
                  </pic:spPr>
                </pic:pic>
              </a:graphicData>
            </a:graphic>
          </wp:inline>
        </w:drawing>
      </w:r>
    </w:p>
    <w:p w14:paraId="28219D96" w14:textId="77777777" w:rsidR="00BC5AFF" w:rsidRDefault="001C2BDB">
      <w:pPr>
        <w:spacing w:after="0"/>
        <w:ind w:left="2"/>
      </w:pPr>
      <w:r>
        <w:rPr>
          <w:rFonts w:ascii="Arial" w:eastAsia="Arial" w:hAnsi="Arial" w:cs="Arial"/>
          <w:b/>
          <w:color w:val="0000FF"/>
          <w:sz w:val="32"/>
        </w:rPr>
        <w:t xml:space="preserve"> </w:t>
      </w:r>
    </w:p>
    <w:p w14:paraId="2CA75504" w14:textId="77777777" w:rsidR="00BC5AFF" w:rsidRDefault="001C2BDB">
      <w:pPr>
        <w:pBdr>
          <w:top w:val="single" w:sz="4" w:space="0" w:color="000000"/>
          <w:left w:val="single" w:sz="4" w:space="0" w:color="000000"/>
          <w:bottom w:val="single" w:sz="4" w:space="0" w:color="000000"/>
          <w:right w:val="single" w:sz="4" w:space="0" w:color="000000"/>
        </w:pBdr>
        <w:spacing w:after="0"/>
        <w:ind w:left="78"/>
        <w:jc w:val="center"/>
      </w:pPr>
      <w:r>
        <w:rPr>
          <w:rFonts w:ascii="Arial" w:eastAsia="Arial" w:hAnsi="Arial" w:cs="Arial"/>
          <w:b/>
          <w:sz w:val="28"/>
        </w:rPr>
        <w:t xml:space="preserve"> </w:t>
      </w:r>
    </w:p>
    <w:p w14:paraId="2A7545E8" w14:textId="77777777" w:rsidR="00BC5AFF" w:rsidRDefault="001C2BDB">
      <w:pPr>
        <w:pBdr>
          <w:top w:val="single" w:sz="4" w:space="0" w:color="000000"/>
          <w:left w:val="single" w:sz="4" w:space="0" w:color="000000"/>
          <w:bottom w:val="single" w:sz="4" w:space="0" w:color="000000"/>
          <w:right w:val="single" w:sz="4" w:space="0" w:color="000000"/>
        </w:pBdr>
        <w:spacing w:after="0"/>
        <w:ind w:left="88" w:hanging="10"/>
        <w:jc w:val="center"/>
      </w:pPr>
      <w:r>
        <w:rPr>
          <w:rFonts w:ascii="Arial" w:eastAsia="Arial" w:hAnsi="Arial" w:cs="Arial"/>
          <w:b/>
          <w:sz w:val="28"/>
        </w:rPr>
        <w:t xml:space="preserve">ANNEXE AU REGLEMENT DE LA CONSULTATION </w:t>
      </w:r>
    </w:p>
    <w:p w14:paraId="3D49A607" w14:textId="08F60E5A" w:rsidR="00BC5AFF" w:rsidRDefault="001C2BDB" w:rsidP="009D75A3">
      <w:pPr>
        <w:pBdr>
          <w:top w:val="single" w:sz="4" w:space="0" w:color="000000"/>
          <w:left w:val="single" w:sz="4" w:space="0" w:color="000000"/>
          <w:bottom w:val="single" w:sz="4" w:space="0" w:color="000000"/>
          <w:right w:val="single" w:sz="4" w:space="0" w:color="000000"/>
        </w:pBdr>
        <w:spacing w:after="0"/>
        <w:ind w:left="78"/>
        <w:jc w:val="center"/>
      </w:pPr>
      <w:r>
        <w:rPr>
          <w:rFonts w:ascii="Arial" w:eastAsia="Arial" w:hAnsi="Arial" w:cs="Arial"/>
          <w:b/>
          <w:sz w:val="28"/>
        </w:rPr>
        <w:t xml:space="preserve"> </w:t>
      </w:r>
    </w:p>
    <w:p w14:paraId="5DE1F292" w14:textId="77777777" w:rsidR="007C336C" w:rsidRDefault="007C336C" w:rsidP="009D75A3"/>
    <w:p w14:paraId="10912EE8" w14:textId="08707845" w:rsidR="007C336C" w:rsidRDefault="009D75A3" w:rsidP="007C336C">
      <w:pPr>
        <w:pStyle w:val="Paragraphedeliste"/>
        <w:numPr>
          <w:ilvl w:val="0"/>
          <w:numId w:val="1"/>
        </w:numPr>
        <w:pBdr>
          <w:top w:val="single" w:sz="4" w:space="0" w:color="000000"/>
          <w:left w:val="single" w:sz="4" w:space="0" w:color="000000"/>
          <w:bottom w:val="single" w:sz="4" w:space="0" w:color="000000"/>
          <w:right w:val="single" w:sz="4" w:space="0" w:color="000000"/>
        </w:pBdr>
        <w:spacing w:after="0"/>
        <w:jc w:val="center"/>
      </w:pPr>
      <w:r w:rsidRPr="007C336C">
        <w:rPr>
          <w:rFonts w:ascii="Arial" w:eastAsia="Arial" w:hAnsi="Arial" w:cs="Arial"/>
          <w:b/>
          <w:sz w:val="28"/>
        </w:rPr>
        <w:t xml:space="preserve">DEMATERIALISATION DES PROCEDURES </w:t>
      </w:r>
    </w:p>
    <w:p w14:paraId="62D358BF" w14:textId="77777777" w:rsidR="009D75A3" w:rsidRDefault="009D75A3" w:rsidP="009D75A3">
      <w:pPr>
        <w:pStyle w:val="Titre1"/>
        <w:jc w:val="center"/>
        <w:rPr>
          <w:rFonts w:asciiTheme="majorHAnsi" w:eastAsia="Arial" w:hAnsiTheme="majorHAnsi" w:cstheme="majorHAnsi"/>
          <w:color w:val="7F7F7F" w:themeColor="text1" w:themeTint="80"/>
          <w:sz w:val="24"/>
          <w:szCs w:val="24"/>
          <w:u w:val="none"/>
        </w:rPr>
      </w:pPr>
    </w:p>
    <w:p w14:paraId="21A21FE9" w14:textId="4846E531" w:rsidR="009D75A3" w:rsidRPr="00392DEA" w:rsidRDefault="009D75A3" w:rsidP="009D75A3">
      <w:pPr>
        <w:pStyle w:val="Titre1"/>
        <w:jc w:val="center"/>
        <w:rPr>
          <w:rFonts w:asciiTheme="majorHAnsi" w:eastAsia="Arial" w:hAnsiTheme="majorHAnsi" w:cstheme="majorHAnsi"/>
          <w:color w:val="A6A6A6" w:themeColor="background1" w:themeShade="A6"/>
          <w:sz w:val="24"/>
          <w:szCs w:val="24"/>
          <w:u w:val="none" w:color="000000"/>
        </w:rPr>
      </w:pPr>
      <w:r w:rsidRPr="00392DEA">
        <w:rPr>
          <w:rFonts w:asciiTheme="majorHAnsi" w:eastAsia="Arial" w:hAnsiTheme="majorHAnsi" w:cstheme="majorHAnsi"/>
          <w:color w:val="7F7F7F" w:themeColor="text1" w:themeTint="80"/>
          <w:sz w:val="24"/>
          <w:szCs w:val="24"/>
          <w:u w:val="none"/>
        </w:rPr>
        <w:t>Profil acheteur</w:t>
      </w:r>
      <w:r w:rsidRPr="00392DEA">
        <w:rPr>
          <w:rFonts w:asciiTheme="majorHAnsi" w:eastAsia="Arial" w:hAnsiTheme="majorHAnsi" w:cstheme="majorHAnsi"/>
          <w:color w:val="7F7F7F" w:themeColor="text1" w:themeTint="80"/>
          <w:sz w:val="24"/>
          <w:szCs w:val="24"/>
          <w:u w:val="none" w:color="000000"/>
        </w:rPr>
        <w:t> </w:t>
      </w:r>
      <w:r w:rsidRPr="00392DEA">
        <w:rPr>
          <w:rFonts w:asciiTheme="majorHAnsi" w:eastAsia="Arial" w:hAnsiTheme="majorHAnsi" w:cstheme="majorHAnsi"/>
          <w:color w:val="A6A6A6" w:themeColor="background1" w:themeShade="A6"/>
          <w:sz w:val="24"/>
          <w:szCs w:val="24"/>
          <w:u w:val="none" w:color="000000"/>
        </w:rPr>
        <w:t>:</w:t>
      </w:r>
    </w:p>
    <w:p w14:paraId="0D61D0B0" w14:textId="6DAD7A12" w:rsidR="00C175E9" w:rsidRPr="009D75A3" w:rsidRDefault="002C7AC8" w:rsidP="009D75A3">
      <w:pPr>
        <w:pStyle w:val="Titre1"/>
        <w:jc w:val="center"/>
        <w:rPr>
          <w:rFonts w:asciiTheme="majorHAnsi" w:hAnsiTheme="majorHAnsi" w:cstheme="majorHAnsi"/>
          <w:b w:val="0"/>
          <w:color w:val="0563C1" w:themeColor="hyperlink"/>
          <w:sz w:val="24"/>
          <w:szCs w:val="24"/>
        </w:rPr>
      </w:pPr>
      <w:hyperlink r:id="rId9" w:history="1">
        <w:r w:rsidR="009D75A3" w:rsidRPr="00392DEA">
          <w:rPr>
            <w:rStyle w:val="Lienhypertexte"/>
            <w:rFonts w:asciiTheme="majorHAnsi" w:hAnsiTheme="majorHAnsi" w:cstheme="majorHAnsi"/>
            <w:b w:val="0"/>
            <w:sz w:val="24"/>
            <w:szCs w:val="24"/>
          </w:rPr>
          <w:t>https://www.marches-publics.gouv.fr</w:t>
        </w:r>
      </w:hyperlink>
    </w:p>
    <w:p w14:paraId="7C8FAD27" w14:textId="77777777" w:rsidR="00BC5AFF" w:rsidRPr="00BA75CB" w:rsidRDefault="001C2BDB">
      <w:pPr>
        <w:pStyle w:val="Titre2"/>
        <w:ind w:left="-3"/>
        <w:rPr>
          <w:rFonts w:asciiTheme="majorHAnsi" w:hAnsiTheme="majorHAnsi" w:cstheme="majorHAnsi"/>
        </w:rPr>
      </w:pPr>
      <w:r w:rsidRPr="00BA75CB">
        <w:rPr>
          <w:rFonts w:asciiTheme="majorHAnsi" w:hAnsiTheme="majorHAnsi" w:cstheme="majorHAnsi"/>
        </w:rPr>
        <w:t xml:space="preserve">1. Mise à disposition du Dossier de consultation des Entreprises (DCE) par voie électronique </w:t>
      </w:r>
    </w:p>
    <w:p w14:paraId="2EF29A5E" w14:textId="77777777" w:rsidR="00BC5AFF" w:rsidRPr="00BA75CB" w:rsidRDefault="001C2BDB">
      <w:pPr>
        <w:spacing w:after="0"/>
        <w:ind w:left="2"/>
        <w:rPr>
          <w:rFonts w:asciiTheme="majorHAnsi" w:hAnsiTheme="majorHAnsi" w:cstheme="majorHAnsi"/>
        </w:rPr>
      </w:pPr>
      <w:r w:rsidRPr="00BA75CB">
        <w:rPr>
          <w:rFonts w:asciiTheme="majorHAnsi" w:eastAsia="Arial" w:hAnsiTheme="majorHAnsi" w:cstheme="majorHAnsi"/>
          <w:b/>
          <w:color w:val="FF6500"/>
          <w:sz w:val="24"/>
        </w:rPr>
        <w:t xml:space="preserve"> </w:t>
      </w:r>
    </w:p>
    <w:p w14:paraId="2C18E2E3" w14:textId="77777777" w:rsidR="00BC5AFF" w:rsidRPr="00BA75CB" w:rsidRDefault="001C2BDB" w:rsidP="00BA75CB">
      <w:pPr>
        <w:spacing w:after="1" w:line="239" w:lineRule="auto"/>
        <w:ind w:left="-3" w:hanging="10"/>
        <w:jc w:val="both"/>
        <w:rPr>
          <w:rFonts w:asciiTheme="majorHAnsi" w:hAnsiTheme="majorHAnsi" w:cstheme="majorHAnsi"/>
        </w:rPr>
      </w:pPr>
      <w:r w:rsidRPr="00BA75CB">
        <w:rPr>
          <w:rFonts w:asciiTheme="majorHAnsi" w:hAnsiTheme="majorHAnsi" w:cstheme="majorHAnsi"/>
        </w:rPr>
        <w:t xml:space="preserve">Conformément aux articles R. 2132-1 à R. 2132-6 du Code de la commande publique, l’établissement support met le DCE à disposition par voie électronique à l'adresse suivante : </w:t>
      </w:r>
      <w:hyperlink r:id="rId10" w:history="1">
        <w:r w:rsidR="00175EE1" w:rsidRPr="00711D3C">
          <w:rPr>
            <w:rStyle w:val="Lienhypertexte"/>
            <w:rFonts w:asciiTheme="majorHAnsi" w:hAnsiTheme="majorHAnsi" w:cstheme="majorHAnsi"/>
          </w:rPr>
          <w:t>https://www.marchespublics.gouv.fr</w:t>
        </w:r>
      </w:hyperlink>
      <w:r w:rsidR="00175EE1">
        <w:rPr>
          <w:rFonts w:asciiTheme="majorHAnsi" w:hAnsiTheme="majorHAnsi" w:cstheme="majorHAnsi"/>
        </w:rPr>
        <w:t xml:space="preserve">. </w:t>
      </w:r>
    </w:p>
    <w:p w14:paraId="51C4F708" w14:textId="77777777" w:rsidR="00BC5AFF" w:rsidRPr="00BA75CB" w:rsidRDefault="001C2BDB" w:rsidP="00BA75CB">
      <w:pPr>
        <w:spacing w:after="0"/>
        <w:ind w:left="2"/>
        <w:jc w:val="both"/>
        <w:rPr>
          <w:rFonts w:asciiTheme="majorHAnsi" w:hAnsiTheme="majorHAnsi" w:cstheme="majorHAnsi"/>
        </w:rPr>
      </w:pPr>
      <w:r w:rsidRPr="00BA75CB">
        <w:rPr>
          <w:rFonts w:asciiTheme="majorHAnsi" w:hAnsiTheme="majorHAnsi" w:cstheme="majorHAnsi"/>
        </w:rPr>
        <w:t xml:space="preserve">  </w:t>
      </w:r>
    </w:p>
    <w:p w14:paraId="0C45BC36" w14:textId="77777777" w:rsidR="00BC5AFF" w:rsidRPr="00BA75CB" w:rsidRDefault="001C2BDB" w:rsidP="00BA75CB">
      <w:pPr>
        <w:spacing w:after="0" w:line="248" w:lineRule="auto"/>
        <w:ind w:left="-3" w:hanging="10"/>
        <w:jc w:val="both"/>
        <w:rPr>
          <w:rFonts w:asciiTheme="majorHAnsi" w:hAnsiTheme="majorHAnsi" w:cstheme="majorHAnsi"/>
        </w:rPr>
      </w:pPr>
      <w:r w:rsidRPr="00BA75CB">
        <w:rPr>
          <w:rFonts w:asciiTheme="majorHAnsi" w:hAnsiTheme="majorHAnsi" w:cstheme="majorHAnsi"/>
        </w:rPr>
        <w:t xml:space="preserve">Il est remis gratuitement à chaque candidat.  </w:t>
      </w:r>
    </w:p>
    <w:p w14:paraId="6A520FF9" w14:textId="77777777" w:rsidR="00BC5AFF" w:rsidRPr="00BA75CB" w:rsidRDefault="001C2BDB" w:rsidP="00BA75CB">
      <w:pPr>
        <w:tabs>
          <w:tab w:val="center" w:pos="9074"/>
        </w:tabs>
        <w:spacing w:after="0" w:line="248" w:lineRule="auto"/>
        <w:ind w:left="-13"/>
        <w:jc w:val="both"/>
        <w:rPr>
          <w:rFonts w:asciiTheme="majorHAnsi" w:hAnsiTheme="majorHAnsi" w:cstheme="majorHAnsi"/>
        </w:rPr>
      </w:pPr>
      <w:r w:rsidRPr="00BA75CB">
        <w:rPr>
          <w:rFonts w:asciiTheme="majorHAnsi" w:hAnsiTheme="majorHAnsi" w:cstheme="majorHAnsi"/>
        </w:rPr>
        <w:t xml:space="preserve">Aucune demande d'envoi du DCE sur support physique électronique n'est autorisée.  </w:t>
      </w:r>
      <w:r w:rsidRPr="00BA75CB">
        <w:rPr>
          <w:rFonts w:asciiTheme="majorHAnsi" w:hAnsiTheme="majorHAnsi" w:cstheme="majorHAnsi"/>
        </w:rPr>
        <w:tab/>
        <w:t xml:space="preserve"> </w:t>
      </w:r>
    </w:p>
    <w:p w14:paraId="693BB1AD" w14:textId="77777777" w:rsidR="00BC5AFF" w:rsidRPr="00BA75CB" w:rsidRDefault="001C2BDB" w:rsidP="00BA75CB">
      <w:pPr>
        <w:spacing w:after="0"/>
        <w:ind w:left="2"/>
        <w:jc w:val="both"/>
        <w:rPr>
          <w:rFonts w:asciiTheme="majorHAnsi" w:hAnsiTheme="majorHAnsi" w:cstheme="majorHAnsi"/>
        </w:rPr>
      </w:pPr>
      <w:r w:rsidRPr="00BA75CB">
        <w:rPr>
          <w:rFonts w:asciiTheme="majorHAnsi" w:hAnsiTheme="majorHAnsi" w:cstheme="majorHAnsi"/>
        </w:rPr>
        <w:t xml:space="preserve"> </w:t>
      </w:r>
    </w:p>
    <w:p w14:paraId="321C1B1B" w14:textId="77777777" w:rsidR="00BC5AFF" w:rsidRPr="00BA75CB" w:rsidRDefault="001C2BDB" w:rsidP="00BA75CB">
      <w:pPr>
        <w:spacing w:after="1" w:line="239" w:lineRule="auto"/>
        <w:ind w:left="-3" w:hanging="10"/>
        <w:jc w:val="both"/>
        <w:rPr>
          <w:rFonts w:asciiTheme="majorHAnsi" w:hAnsiTheme="majorHAnsi" w:cstheme="majorHAnsi"/>
        </w:rPr>
      </w:pPr>
      <w:r w:rsidRPr="00BA75CB">
        <w:rPr>
          <w:rFonts w:asciiTheme="majorHAnsi" w:hAnsiTheme="majorHAnsi" w:cstheme="majorHAnsi"/>
        </w:rPr>
        <w:t xml:space="preserve">Le candidat ne supporte aucun autre frais que ceux liés à l’accès au réseau et à l’obtention de la signature électronique. Il doit cependant disposer d’un navigateur Internet et d’un environnement informatique mis à jour en matière de sécurités et d’antivirus. </w:t>
      </w:r>
    </w:p>
    <w:p w14:paraId="7B48ABCE" w14:textId="77777777" w:rsidR="00BC5AFF" w:rsidRPr="00BA75CB" w:rsidRDefault="001C2BDB" w:rsidP="00BA75CB">
      <w:pPr>
        <w:spacing w:after="0"/>
        <w:ind w:left="2"/>
        <w:jc w:val="both"/>
        <w:rPr>
          <w:rFonts w:asciiTheme="majorHAnsi" w:hAnsiTheme="majorHAnsi" w:cstheme="majorHAnsi"/>
        </w:rPr>
      </w:pPr>
      <w:r w:rsidRPr="00BA75CB">
        <w:rPr>
          <w:rFonts w:asciiTheme="majorHAnsi" w:hAnsiTheme="majorHAnsi" w:cstheme="majorHAnsi"/>
        </w:rPr>
        <w:t xml:space="preserve"> </w:t>
      </w:r>
    </w:p>
    <w:p w14:paraId="2DF3E53D" w14:textId="77777777" w:rsidR="00BC5AFF" w:rsidRPr="00BA75CB" w:rsidRDefault="001C2BDB" w:rsidP="00BA75CB">
      <w:pPr>
        <w:spacing w:after="1" w:line="239" w:lineRule="auto"/>
        <w:ind w:left="-3" w:hanging="10"/>
        <w:jc w:val="both"/>
        <w:rPr>
          <w:rFonts w:asciiTheme="majorHAnsi" w:hAnsiTheme="majorHAnsi" w:cstheme="majorHAnsi"/>
        </w:rPr>
      </w:pPr>
      <w:r w:rsidRPr="00BA75CB">
        <w:rPr>
          <w:rFonts w:asciiTheme="majorHAnsi" w:hAnsiTheme="majorHAnsi" w:cstheme="majorHAnsi"/>
        </w:rPr>
        <w:t xml:space="preserve">Lors du téléchargement du dossier de consultation, le candidat est invité à renseigner le nom de l’organisme soumissionnaire, le nom de la personne physique téléchargeant les documents et une </w:t>
      </w:r>
      <w:r w:rsidRPr="00BA75CB">
        <w:rPr>
          <w:rFonts w:asciiTheme="majorHAnsi" w:hAnsiTheme="majorHAnsi" w:cstheme="majorHAnsi"/>
          <w:b/>
        </w:rPr>
        <w:t>adresse électronique</w:t>
      </w:r>
      <w:r w:rsidRPr="00BA75CB">
        <w:rPr>
          <w:rFonts w:asciiTheme="majorHAnsi" w:hAnsiTheme="majorHAnsi" w:cstheme="majorHAnsi"/>
        </w:rPr>
        <w:t xml:space="preserve"> permettant de façon certaine une correspondance électronique, afin qu'il puisse bénéficier de toutes les informations complémentaires diffusées lors du déroulement de la présente consultation, en particulier les éventuelles précisions ou report de délais.  </w:t>
      </w:r>
    </w:p>
    <w:p w14:paraId="00AE221E" w14:textId="77777777" w:rsidR="00BC5AFF" w:rsidRPr="00BA75CB" w:rsidRDefault="001C2BDB" w:rsidP="00BA75CB">
      <w:pPr>
        <w:spacing w:after="0"/>
        <w:ind w:left="2"/>
        <w:jc w:val="both"/>
        <w:rPr>
          <w:rFonts w:asciiTheme="majorHAnsi" w:hAnsiTheme="majorHAnsi" w:cstheme="majorHAnsi"/>
        </w:rPr>
      </w:pPr>
      <w:r w:rsidRPr="00BA75CB">
        <w:rPr>
          <w:rFonts w:asciiTheme="majorHAnsi" w:hAnsiTheme="majorHAnsi" w:cstheme="majorHAnsi"/>
        </w:rPr>
        <w:t xml:space="preserve"> </w:t>
      </w:r>
    </w:p>
    <w:p w14:paraId="335F7AEB" w14:textId="77777777" w:rsidR="00BC5AFF" w:rsidRPr="00BA75CB" w:rsidRDefault="001C2BDB" w:rsidP="00BA75CB">
      <w:pPr>
        <w:spacing w:after="1" w:line="239" w:lineRule="auto"/>
        <w:ind w:left="-3" w:hanging="10"/>
        <w:jc w:val="both"/>
        <w:rPr>
          <w:rFonts w:asciiTheme="majorHAnsi" w:hAnsiTheme="majorHAnsi" w:cstheme="majorHAnsi"/>
        </w:rPr>
      </w:pPr>
      <w:r w:rsidRPr="00BA75CB">
        <w:rPr>
          <w:rFonts w:asciiTheme="majorHAnsi" w:hAnsiTheme="majorHAnsi" w:cstheme="majorHAnsi"/>
        </w:rPr>
        <w:t xml:space="preserve">Le candidat ne peut porter aucune réclamation s’il ne bénéficie pas de toutes les informations complémentaires diffusées par la plateforme de dématérialisation lors du déroulement de la présente consultation en raison d’une erreur qu’il aurait faite dans la saisie de son adresse électronique, en cas de non identification de la personne lors du téléchargement, en cas de non indication de </w:t>
      </w:r>
      <w:r w:rsidR="00D03198" w:rsidRPr="00BA75CB">
        <w:rPr>
          <w:rFonts w:asciiTheme="majorHAnsi" w:hAnsiTheme="majorHAnsi" w:cstheme="majorHAnsi"/>
        </w:rPr>
        <w:t>ladite</w:t>
      </w:r>
      <w:r w:rsidRPr="00BA75CB">
        <w:rPr>
          <w:rFonts w:asciiTheme="majorHAnsi" w:hAnsiTheme="majorHAnsi" w:cstheme="majorHAnsi"/>
        </w:rPr>
        <w:t xml:space="preserve"> adresse électronique, ou en cas de suppression de </w:t>
      </w:r>
      <w:r w:rsidR="00D90ADD" w:rsidRPr="00BA75CB">
        <w:rPr>
          <w:rFonts w:asciiTheme="majorHAnsi" w:hAnsiTheme="majorHAnsi" w:cstheme="majorHAnsi"/>
        </w:rPr>
        <w:t>ladite</w:t>
      </w:r>
      <w:r w:rsidRPr="00BA75CB">
        <w:rPr>
          <w:rFonts w:asciiTheme="majorHAnsi" w:hAnsiTheme="majorHAnsi" w:cstheme="majorHAnsi"/>
        </w:rPr>
        <w:t xml:space="preserve"> adresse électronique.  </w:t>
      </w:r>
    </w:p>
    <w:p w14:paraId="70FB4EAE" w14:textId="77777777" w:rsidR="00BC5AFF" w:rsidRPr="00BA75CB" w:rsidRDefault="001C2BDB" w:rsidP="00BA75CB">
      <w:pPr>
        <w:spacing w:after="0"/>
        <w:ind w:left="2"/>
        <w:jc w:val="both"/>
        <w:rPr>
          <w:rFonts w:asciiTheme="majorHAnsi" w:hAnsiTheme="majorHAnsi" w:cstheme="majorHAnsi"/>
        </w:rPr>
      </w:pPr>
      <w:r w:rsidRPr="00BA75CB">
        <w:rPr>
          <w:rFonts w:asciiTheme="majorHAnsi" w:hAnsiTheme="majorHAnsi" w:cstheme="majorHAnsi"/>
        </w:rPr>
        <w:t xml:space="preserve"> </w:t>
      </w:r>
    </w:p>
    <w:p w14:paraId="74064F39" w14:textId="77777777" w:rsidR="00BC5AFF" w:rsidRPr="00BA75CB" w:rsidRDefault="001C2BDB" w:rsidP="00BA75CB">
      <w:pPr>
        <w:spacing w:after="0" w:line="239" w:lineRule="auto"/>
        <w:ind w:left="2"/>
        <w:jc w:val="both"/>
        <w:rPr>
          <w:rFonts w:asciiTheme="majorHAnsi" w:hAnsiTheme="majorHAnsi" w:cstheme="majorHAnsi"/>
        </w:rPr>
      </w:pPr>
      <w:r w:rsidRPr="00BA75CB">
        <w:rPr>
          <w:rFonts w:asciiTheme="majorHAnsi" w:hAnsiTheme="majorHAnsi" w:cstheme="majorHAnsi"/>
          <w:b/>
        </w:rPr>
        <w:t>Il est recommandé à tout candidat de consulter régulièrement la plateforme afin de s'assurer qu'il bénéficie bien des dernières modifications éventuelles. Tout candidat s'assure également que les messages envoyés par la plateforme des achats de l'Etat (PLACE) notamment nepasrepondre@marches-publics.gouv.fr, ne sont pas traités comme courriels indésirables.</w:t>
      </w:r>
      <w:r w:rsidRPr="00BA75CB">
        <w:rPr>
          <w:rFonts w:asciiTheme="majorHAnsi" w:hAnsiTheme="majorHAnsi" w:cstheme="majorHAnsi"/>
          <w:sz w:val="20"/>
        </w:rPr>
        <w:t xml:space="preserve"> </w:t>
      </w:r>
    </w:p>
    <w:p w14:paraId="311A366B" w14:textId="77777777" w:rsidR="00C175E9" w:rsidRDefault="001C2BDB" w:rsidP="00C175E9">
      <w:pPr>
        <w:spacing w:after="0"/>
        <w:ind w:left="2"/>
        <w:rPr>
          <w:rFonts w:asciiTheme="majorHAnsi" w:hAnsiTheme="majorHAnsi" w:cstheme="majorHAnsi"/>
        </w:rPr>
      </w:pPr>
      <w:r w:rsidRPr="00BA75CB">
        <w:rPr>
          <w:rFonts w:asciiTheme="majorHAnsi" w:hAnsiTheme="majorHAnsi" w:cstheme="majorHAnsi"/>
          <w:sz w:val="20"/>
        </w:rPr>
        <w:t xml:space="preserve"> </w:t>
      </w:r>
      <w:r w:rsidRPr="00BA75CB">
        <w:rPr>
          <w:rFonts w:asciiTheme="majorHAnsi" w:hAnsiTheme="majorHAnsi" w:cstheme="majorHAnsi"/>
          <w:sz w:val="20"/>
        </w:rPr>
        <w:tab/>
        <w:t xml:space="preserve"> </w:t>
      </w:r>
    </w:p>
    <w:p w14:paraId="55A67253" w14:textId="77777777" w:rsidR="00C175E9" w:rsidRDefault="00C175E9" w:rsidP="00C175E9">
      <w:pPr>
        <w:spacing w:after="0"/>
        <w:ind w:left="2"/>
        <w:rPr>
          <w:rFonts w:asciiTheme="majorHAnsi" w:hAnsiTheme="majorHAnsi" w:cstheme="majorHAnsi"/>
        </w:rPr>
      </w:pPr>
    </w:p>
    <w:p w14:paraId="6D7CB09E" w14:textId="77777777" w:rsidR="00C175E9" w:rsidRDefault="00C175E9" w:rsidP="00C175E9">
      <w:pPr>
        <w:spacing w:after="0"/>
        <w:ind w:left="2"/>
        <w:rPr>
          <w:rFonts w:asciiTheme="majorHAnsi" w:hAnsiTheme="majorHAnsi" w:cstheme="majorHAnsi"/>
        </w:rPr>
      </w:pPr>
    </w:p>
    <w:p w14:paraId="63908EC3" w14:textId="77777777" w:rsidR="00C175E9" w:rsidRDefault="00C175E9" w:rsidP="00C175E9">
      <w:pPr>
        <w:spacing w:after="0"/>
        <w:ind w:left="2"/>
        <w:rPr>
          <w:rFonts w:asciiTheme="majorHAnsi" w:hAnsiTheme="majorHAnsi" w:cstheme="majorHAnsi"/>
        </w:rPr>
      </w:pPr>
    </w:p>
    <w:p w14:paraId="3BC1C84D" w14:textId="77777777" w:rsidR="00C175E9" w:rsidRDefault="00C175E9" w:rsidP="00C175E9">
      <w:pPr>
        <w:spacing w:after="0"/>
        <w:ind w:left="2"/>
        <w:rPr>
          <w:rFonts w:asciiTheme="majorHAnsi" w:hAnsiTheme="majorHAnsi" w:cstheme="majorHAnsi"/>
        </w:rPr>
      </w:pPr>
    </w:p>
    <w:p w14:paraId="142DF64F" w14:textId="77777777" w:rsidR="00C175E9" w:rsidRDefault="00C175E9" w:rsidP="00C175E9">
      <w:pPr>
        <w:spacing w:after="0"/>
        <w:ind w:left="2"/>
        <w:rPr>
          <w:rFonts w:asciiTheme="majorHAnsi" w:hAnsiTheme="majorHAnsi" w:cstheme="majorHAnsi"/>
        </w:rPr>
      </w:pPr>
    </w:p>
    <w:p w14:paraId="424F015A" w14:textId="77777777" w:rsidR="00DC28F5" w:rsidRDefault="00DC28F5" w:rsidP="00C175E9">
      <w:pPr>
        <w:spacing w:after="0"/>
        <w:ind w:left="2"/>
        <w:rPr>
          <w:rFonts w:asciiTheme="majorHAnsi" w:hAnsiTheme="majorHAnsi" w:cstheme="majorHAnsi"/>
        </w:rPr>
      </w:pPr>
    </w:p>
    <w:p w14:paraId="6BF3AC90" w14:textId="77777777" w:rsidR="00DC28F5" w:rsidRPr="00C175E9" w:rsidRDefault="00DC28F5" w:rsidP="00C175E9">
      <w:pPr>
        <w:spacing w:after="0"/>
        <w:ind w:left="2"/>
        <w:rPr>
          <w:rFonts w:asciiTheme="majorHAnsi" w:hAnsiTheme="majorHAnsi" w:cstheme="majorHAnsi"/>
        </w:rPr>
      </w:pPr>
    </w:p>
    <w:p w14:paraId="7E300C77" w14:textId="77777777" w:rsidR="00BC5AFF" w:rsidRPr="00BA75CB" w:rsidRDefault="001C2BDB">
      <w:pPr>
        <w:pStyle w:val="Titre2"/>
        <w:ind w:left="-3"/>
        <w:rPr>
          <w:rFonts w:asciiTheme="majorHAnsi" w:hAnsiTheme="majorHAnsi" w:cstheme="majorHAnsi"/>
        </w:rPr>
      </w:pPr>
      <w:r w:rsidRPr="00BA75CB">
        <w:rPr>
          <w:rFonts w:asciiTheme="majorHAnsi" w:hAnsiTheme="majorHAnsi" w:cstheme="majorHAnsi"/>
        </w:rPr>
        <w:t xml:space="preserve">2. Questions au pouvoir adjudicateur </w:t>
      </w:r>
    </w:p>
    <w:p w14:paraId="145B30B0" w14:textId="77777777" w:rsidR="00BC5AFF" w:rsidRPr="00BA75CB" w:rsidRDefault="001C2BDB">
      <w:pPr>
        <w:spacing w:after="0"/>
        <w:rPr>
          <w:rFonts w:asciiTheme="majorHAnsi" w:hAnsiTheme="majorHAnsi" w:cstheme="majorHAnsi"/>
        </w:rPr>
      </w:pPr>
      <w:r w:rsidRPr="00BA75CB">
        <w:rPr>
          <w:rFonts w:asciiTheme="majorHAnsi" w:eastAsia="Arial" w:hAnsiTheme="majorHAnsi" w:cstheme="majorHAnsi"/>
          <w:b/>
          <w:color w:val="FF6500"/>
          <w:sz w:val="24"/>
        </w:rPr>
        <w:t xml:space="preserve"> </w:t>
      </w:r>
    </w:p>
    <w:p w14:paraId="0967825E" w14:textId="77777777" w:rsidR="00BC5AFF" w:rsidRPr="004D720D" w:rsidRDefault="001C2BDB">
      <w:pPr>
        <w:spacing w:after="4" w:line="249" w:lineRule="auto"/>
        <w:ind w:left="-5" w:hanging="10"/>
        <w:jc w:val="both"/>
        <w:rPr>
          <w:rFonts w:asciiTheme="majorHAnsi" w:hAnsiTheme="majorHAnsi" w:cstheme="majorHAnsi"/>
        </w:rPr>
      </w:pPr>
      <w:r w:rsidRPr="004D720D">
        <w:rPr>
          <w:rFonts w:asciiTheme="majorHAnsi" w:hAnsiTheme="majorHAnsi" w:cstheme="majorHAnsi"/>
        </w:rPr>
        <w:t xml:space="preserve">Le candidat peut poser des questions sur la consultation via son compte sur le site </w:t>
      </w:r>
      <w:r w:rsidRPr="004D720D">
        <w:rPr>
          <w:rFonts w:asciiTheme="majorHAnsi" w:hAnsiTheme="majorHAnsi" w:cstheme="majorHAnsi"/>
          <w:color w:val="0000FF"/>
          <w:u w:val="single" w:color="0000FF"/>
        </w:rPr>
        <w:t>https://www.marchespublics.gouv.fr</w:t>
      </w:r>
      <w:r w:rsidRPr="004D720D">
        <w:rPr>
          <w:rFonts w:asciiTheme="majorHAnsi" w:hAnsiTheme="majorHAnsi" w:cstheme="majorHAnsi"/>
        </w:rPr>
        <w:t xml:space="preserve"> </w:t>
      </w:r>
    </w:p>
    <w:p w14:paraId="63010CFD" w14:textId="77777777" w:rsidR="00BC5AFF" w:rsidRPr="004D720D" w:rsidRDefault="001C2BDB" w:rsidP="00BA75CB">
      <w:pPr>
        <w:spacing w:after="0"/>
        <w:jc w:val="both"/>
        <w:rPr>
          <w:rFonts w:asciiTheme="majorHAnsi" w:hAnsiTheme="majorHAnsi" w:cstheme="majorHAnsi"/>
        </w:rPr>
      </w:pPr>
      <w:r w:rsidRPr="004D720D">
        <w:rPr>
          <w:rFonts w:asciiTheme="majorHAnsi" w:hAnsiTheme="majorHAnsi" w:cstheme="majorHAnsi"/>
          <w:color w:val="0000FF"/>
        </w:rPr>
        <w:t xml:space="preserve"> </w:t>
      </w:r>
    </w:p>
    <w:p w14:paraId="3A5C32A2" w14:textId="77777777" w:rsidR="00BC5AFF" w:rsidRPr="004D720D" w:rsidRDefault="001C2BDB" w:rsidP="00BA75CB">
      <w:pPr>
        <w:spacing w:after="4" w:line="249" w:lineRule="auto"/>
        <w:ind w:left="-5" w:hanging="10"/>
        <w:jc w:val="both"/>
        <w:rPr>
          <w:rFonts w:asciiTheme="majorHAnsi" w:hAnsiTheme="majorHAnsi" w:cstheme="majorHAnsi"/>
        </w:rPr>
      </w:pPr>
      <w:r w:rsidRPr="004D720D">
        <w:rPr>
          <w:rFonts w:asciiTheme="majorHAnsi" w:hAnsiTheme="majorHAnsi" w:cstheme="majorHAnsi"/>
        </w:rPr>
        <w:t xml:space="preserve">L’ensemble des questions posées et des réponses apportées sont répertoriées et une alerte sera envoyée sur l’adresse mail du soumissionnaire. </w:t>
      </w:r>
    </w:p>
    <w:p w14:paraId="7E0F39D4" w14:textId="77777777" w:rsidR="00BC5AFF" w:rsidRPr="004D720D" w:rsidRDefault="001C2BDB" w:rsidP="00BA75CB">
      <w:pPr>
        <w:spacing w:after="0"/>
        <w:jc w:val="both"/>
        <w:rPr>
          <w:rFonts w:asciiTheme="majorHAnsi" w:hAnsiTheme="majorHAnsi" w:cstheme="majorHAnsi"/>
        </w:rPr>
      </w:pPr>
      <w:r w:rsidRPr="004D720D">
        <w:rPr>
          <w:rFonts w:asciiTheme="majorHAnsi" w:hAnsiTheme="majorHAnsi" w:cstheme="majorHAnsi"/>
        </w:rPr>
        <w:t xml:space="preserve"> </w:t>
      </w:r>
    </w:p>
    <w:p w14:paraId="292A7713" w14:textId="77777777" w:rsidR="00BC5AFF" w:rsidRPr="004D720D" w:rsidRDefault="001C2BDB" w:rsidP="00BA75CB">
      <w:pPr>
        <w:spacing w:after="1" w:line="240" w:lineRule="auto"/>
        <w:jc w:val="both"/>
        <w:rPr>
          <w:rFonts w:asciiTheme="majorHAnsi" w:hAnsiTheme="majorHAnsi" w:cstheme="majorHAnsi"/>
        </w:rPr>
      </w:pPr>
      <w:r w:rsidRPr="004D720D">
        <w:rPr>
          <w:rFonts w:asciiTheme="majorHAnsi" w:hAnsiTheme="majorHAnsi" w:cstheme="majorHAnsi"/>
        </w:rPr>
        <w:t xml:space="preserve">L’attention des candidats est attirée sur le fait que leurs questions ne doivent pas révéler leur identité, ni leur positionnement technique ou compétitif, en effet la réglementation impose de conserver le texte de la question au moment de la réponse, et d’adresser cette réponse à tous les candidats. </w:t>
      </w:r>
    </w:p>
    <w:p w14:paraId="34A75B4E" w14:textId="417F94DA" w:rsidR="00BC5AFF" w:rsidRPr="00BA75CB" w:rsidRDefault="001C2BDB" w:rsidP="001C2BDB">
      <w:pPr>
        <w:spacing w:after="9"/>
        <w:rPr>
          <w:rFonts w:asciiTheme="majorHAnsi" w:hAnsiTheme="majorHAnsi" w:cstheme="majorHAnsi"/>
        </w:rPr>
      </w:pPr>
      <w:r w:rsidRPr="00BA75CB">
        <w:rPr>
          <w:rFonts w:asciiTheme="majorHAnsi" w:hAnsiTheme="majorHAnsi" w:cstheme="majorHAnsi"/>
          <w:sz w:val="20"/>
        </w:rPr>
        <w:t xml:space="preserve"> </w:t>
      </w:r>
    </w:p>
    <w:p w14:paraId="1366A012" w14:textId="77777777" w:rsidR="00BC5AFF" w:rsidRPr="00BA75CB" w:rsidRDefault="001C2BDB">
      <w:pPr>
        <w:pStyle w:val="Titre2"/>
        <w:ind w:left="-3"/>
        <w:rPr>
          <w:rFonts w:asciiTheme="majorHAnsi" w:hAnsiTheme="majorHAnsi" w:cstheme="majorHAnsi"/>
        </w:rPr>
      </w:pPr>
      <w:r w:rsidRPr="00BA75CB">
        <w:rPr>
          <w:rFonts w:asciiTheme="majorHAnsi" w:hAnsiTheme="majorHAnsi" w:cstheme="majorHAnsi"/>
        </w:rPr>
        <w:t xml:space="preserve">3. Modalité de dépôt d’un pli, offre ou candidature, par voie électronique </w:t>
      </w:r>
    </w:p>
    <w:p w14:paraId="6317991F" w14:textId="77777777" w:rsidR="00BC5AFF" w:rsidRPr="00BA75CB" w:rsidRDefault="001C2BDB">
      <w:pPr>
        <w:spacing w:after="0"/>
        <w:rPr>
          <w:rFonts w:asciiTheme="majorHAnsi" w:hAnsiTheme="majorHAnsi" w:cstheme="majorHAnsi"/>
        </w:rPr>
      </w:pPr>
      <w:r w:rsidRPr="00BA75CB">
        <w:rPr>
          <w:rFonts w:asciiTheme="majorHAnsi" w:eastAsia="Arial" w:hAnsiTheme="majorHAnsi" w:cstheme="majorHAnsi"/>
          <w:b/>
          <w:color w:val="FF6500"/>
          <w:sz w:val="24"/>
        </w:rPr>
        <w:t xml:space="preserve"> </w:t>
      </w:r>
    </w:p>
    <w:p w14:paraId="1B5A1826" w14:textId="77777777" w:rsidR="00BC5AFF" w:rsidRPr="004D720D" w:rsidRDefault="001C2BDB">
      <w:pPr>
        <w:spacing w:after="4" w:line="249" w:lineRule="auto"/>
        <w:ind w:left="-5" w:hanging="10"/>
        <w:jc w:val="both"/>
        <w:rPr>
          <w:rFonts w:asciiTheme="majorHAnsi" w:hAnsiTheme="majorHAnsi" w:cstheme="majorHAnsi"/>
        </w:rPr>
      </w:pPr>
      <w:r w:rsidRPr="004D720D">
        <w:rPr>
          <w:rFonts w:asciiTheme="majorHAnsi" w:hAnsiTheme="majorHAnsi" w:cstheme="majorHAnsi"/>
        </w:rPr>
        <w:t xml:space="preserve">Conformément aux dispositions de l'article R. 2132-7 du Code de la commande publique, les plis des candidats doivent être transmis par voie électronique à l'adresse suivante : </w:t>
      </w:r>
    </w:p>
    <w:p w14:paraId="6A5D3422" w14:textId="77777777" w:rsidR="005C5BFE" w:rsidRPr="004D720D" w:rsidRDefault="005C5BFE">
      <w:pPr>
        <w:spacing w:after="0"/>
        <w:ind w:right="11"/>
        <w:jc w:val="center"/>
        <w:rPr>
          <w:rFonts w:asciiTheme="majorHAnsi" w:hAnsiTheme="majorHAnsi" w:cstheme="majorHAnsi"/>
          <w:color w:val="0000FF"/>
          <w:u w:val="single" w:color="0000FF"/>
        </w:rPr>
      </w:pPr>
    </w:p>
    <w:p w14:paraId="14A5DD63" w14:textId="77777777" w:rsidR="00BC5AFF" w:rsidRPr="004D720D" w:rsidRDefault="001C2BDB">
      <w:pPr>
        <w:spacing w:after="0"/>
        <w:ind w:right="11"/>
        <w:jc w:val="center"/>
        <w:rPr>
          <w:rFonts w:asciiTheme="majorHAnsi" w:hAnsiTheme="majorHAnsi" w:cstheme="majorHAnsi"/>
        </w:rPr>
      </w:pPr>
      <w:r w:rsidRPr="004D720D">
        <w:rPr>
          <w:rFonts w:asciiTheme="majorHAnsi" w:hAnsiTheme="majorHAnsi" w:cstheme="majorHAnsi"/>
          <w:color w:val="0000FF"/>
          <w:u w:val="single" w:color="0000FF"/>
        </w:rPr>
        <w:t>https://www.marches-publics.gouv.fr</w:t>
      </w:r>
      <w:r w:rsidRPr="004D720D">
        <w:rPr>
          <w:rFonts w:asciiTheme="majorHAnsi" w:hAnsiTheme="majorHAnsi" w:cstheme="majorHAnsi"/>
        </w:rPr>
        <w:t xml:space="preserve"> </w:t>
      </w:r>
    </w:p>
    <w:p w14:paraId="3A2ADB0F" w14:textId="77777777" w:rsidR="00BC5AFF" w:rsidRPr="004D720D" w:rsidRDefault="001C2BDB">
      <w:pPr>
        <w:spacing w:after="0"/>
        <w:ind w:left="40"/>
        <w:jc w:val="center"/>
        <w:rPr>
          <w:rFonts w:asciiTheme="majorHAnsi" w:hAnsiTheme="majorHAnsi" w:cstheme="majorHAnsi"/>
        </w:rPr>
      </w:pPr>
      <w:r w:rsidRPr="004D720D">
        <w:rPr>
          <w:rFonts w:asciiTheme="majorHAnsi" w:hAnsiTheme="majorHAnsi" w:cstheme="majorHAnsi"/>
        </w:rPr>
        <w:t xml:space="preserve"> </w:t>
      </w:r>
    </w:p>
    <w:p w14:paraId="19229BDA" w14:textId="77777777" w:rsidR="00BC5AFF" w:rsidRPr="004D720D" w:rsidRDefault="001C2BDB">
      <w:pPr>
        <w:spacing w:after="0"/>
        <w:rPr>
          <w:rFonts w:asciiTheme="majorHAnsi" w:hAnsiTheme="majorHAnsi" w:cstheme="majorHAnsi"/>
        </w:rPr>
      </w:pPr>
      <w:r w:rsidRPr="004D720D">
        <w:rPr>
          <w:rFonts w:asciiTheme="majorHAnsi" w:hAnsiTheme="majorHAnsi" w:cstheme="majorHAnsi"/>
        </w:rPr>
        <w:t xml:space="preserve"> </w:t>
      </w:r>
    </w:p>
    <w:p w14:paraId="5FC1C605" w14:textId="77777777" w:rsidR="00BC5AFF" w:rsidRPr="004D720D" w:rsidRDefault="001C2BDB">
      <w:pPr>
        <w:spacing w:after="4" w:line="249" w:lineRule="auto"/>
        <w:ind w:left="-5" w:hanging="10"/>
        <w:jc w:val="both"/>
        <w:rPr>
          <w:rFonts w:asciiTheme="majorHAnsi" w:hAnsiTheme="majorHAnsi" w:cstheme="majorHAnsi"/>
        </w:rPr>
      </w:pPr>
      <w:r w:rsidRPr="004D720D">
        <w:rPr>
          <w:rFonts w:asciiTheme="majorHAnsi" w:hAnsiTheme="majorHAnsi" w:cstheme="majorHAnsi"/>
        </w:rPr>
        <w:t xml:space="preserve">Cette adresse correspond à la plateforme de dématérialisation PLACE (Plateforme des Achats de l'Etat) utilisée par l’établissement support du GHT </w:t>
      </w:r>
      <w:r w:rsidR="005C5BFE" w:rsidRPr="004D720D">
        <w:rPr>
          <w:rFonts w:asciiTheme="majorHAnsi" w:hAnsiTheme="majorHAnsi" w:cstheme="majorHAnsi"/>
        </w:rPr>
        <w:t>de la Haute-Saône</w:t>
      </w:r>
      <w:r w:rsidRPr="004D720D">
        <w:rPr>
          <w:rFonts w:asciiTheme="majorHAnsi" w:hAnsiTheme="majorHAnsi" w:cstheme="majorHAnsi"/>
        </w:rPr>
        <w:t xml:space="preserve">. </w:t>
      </w:r>
    </w:p>
    <w:p w14:paraId="27D6A721" w14:textId="77777777" w:rsidR="00BC5AFF" w:rsidRPr="004D720D" w:rsidRDefault="001C2BDB">
      <w:pPr>
        <w:spacing w:after="4" w:line="249" w:lineRule="auto"/>
        <w:ind w:left="-5" w:hanging="10"/>
        <w:jc w:val="both"/>
        <w:rPr>
          <w:rFonts w:asciiTheme="majorHAnsi" w:hAnsiTheme="majorHAnsi" w:cstheme="majorHAnsi"/>
        </w:rPr>
      </w:pPr>
      <w:r w:rsidRPr="004D720D">
        <w:rPr>
          <w:rFonts w:asciiTheme="majorHAnsi" w:hAnsiTheme="majorHAnsi" w:cstheme="majorHAnsi"/>
        </w:rPr>
        <w:t xml:space="preserve">Les plis doivent parvenir à destination avant la date et l'heure limites de réception des plis indiquées des documents de consultation. Tout pli transmis au-delà de la date et de l'heure limite de dépôt sera considéré comme hors délai, l’horodatage du profil acheteur faisant foi. </w:t>
      </w:r>
    </w:p>
    <w:p w14:paraId="70D65362" w14:textId="77777777" w:rsidR="00BC5AFF" w:rsidRPr="00BA75CB" w:rsidRDefault="001C2BDB">
      <w:pPr>
        <w:spacing w:after="0"/>
        <w:rPr>
          <w:rFonts w:asciiTheme="majorHAnsi" w:hAnsiTheme="majorHAnsi" w:cstheme="majorHAnsi"/>
        </w:rPr>
      </w:pPr>
      <w:r w:rsidRPr="00BA75CB">
        <w:rPr>
          <w:rFonts w:asciiTheme="majorHAnsi" w:hAnsiTheme="majorHAnsi" w:cstheme="majorHAnsi"/>
          <w:sz w:val="20"/>
        </w:rPr>
        <w:t xml:space="preserve"> </w:t>
      </w:r>
    </w:p>
    <w:p w14:paraId="6949D1DB" w14:textId="77777777" w:rsidR="00BC5AFF" w:rsidRPr="005C5BFE" w:rsidRDefault="001C2BDB" w:rsidP="005C5BFE">
      <w:pPr>
        <w:spacing w:after="4" w:line="249" w:lineRule="auto"/>
        <w:ind w:left="-5" w:hanging="10"/>
        <w:jc w:val="center"/>
        <w:rPr>
          <w:rFonts w:asciiTheme="majorHAnsi" w:hAnsiTheme="majorHAnsi" w:cstheme="majorHAnsi"/>
          <w:b/>
        </w:rPr>
      </w:pPr>
      <w:r w:rsidRPr="005C5BFE">
        <w:rPr>
          <w:rFonts w:asciiTheme="majorHAnsi" w:hAnsiTheme="majorHAnsi" w:cstheme="majorHAnsi"/>
          <w:b/>
          <w:sz w:val="20"/>
        </w:rPr>
        <w:t>Toute transmission par voie électronique en dehors de la plate-forme est refusée.</w:t>
      </w:r>
    </w:p>
    <w:p w14:paraId="5004B71E" w14:textId="77777777" w:rsidR="00BC5AFF" w:rsidRPr="00BA75CB" w:rsidRDefault="001C2BDB">
      <w:pPr>
        <w:spacing w:after="0"/>
        <w:rPr>
          <w:rFonts w:asciiTheme="majorHAnsi" w:hAnsiTheme="majorHAnsi" w:cstheme="majorHAnsi"/>
        </w:rPr>
      </w:pPr>
      <w:r w:rsidRPr="00BA75CB">
        <w:rPr>
          <w:rFonts w:asciiTheme="majorHAnsi" w:hAnsiTheme="majorHAnsi" w:cstheme="majorHAnsi"/>
          <w:sz w:val="20"/>
        </w:rPr>
        <w:t xml:space="preserve"> </w:t>
      </w:r>
    </w:p>
    <w:p w14:paraId="5FF1DDB4" w14:textId="77777777" w:rsidR="00BC5AFF" w:rsidRPr="004D720D" w:rsidRDefault="001C2BDB">
      <w:pPr>
        <w:spacing w:after="4" w:line="249" w:lineRule="auto"/>
        <w:ind w:left="-5" w:hanging="10"/>
        <w:jc w:val="both"/>
        <w:rPr>
          <w:rFonts w:asciiTheme="majorHAnsi" w:hAnsiTheme="majorHAnsi" w:cstheme="majorHAnsi"/>
        </w:rPr>
      </w:pPr>
      <w:r w:rsidRPr="004D720D">
        <w:rPr>
          <w:rFonts w:asciiTheme="majorHAnsi" w:hAnsiTheme="majorHAnsi" w:cstheme="majorHAnsi"/>
        </w:rPr>
        <w:t xml:space="preserve">Les opérateurs économiques peuvent signer électroniquement </w:t>
      </w:r>
      <w:r w:rsidR="00E22DCC" w:rsidRPr="004D720D">
        <w:rPr>
          <w:rFonts w:asciiTheme="majorHAnsi" w:hAnsiTheme="majorHAnsi" w:cstheme="majorHAnsi"/>
        </w:rPr>
        <w:t xml:space="preserve">les </w:t>
      </w:r>
      <w:r w:rsidRPr="004D720D">
        <w:rPr>
          <w:rFonts w:asciiTheme="majorHAnsi" w:hAnsiTheme="majorHAnsi" w:cstheme="majorHAnsi"/>
        </w:rPr>
        <w:t xml:space="preserve">pièces demandées en présentant un certificat de signature électronique. Ce certificat doit être délivré par une autorité de certification accréditée et permettre de faire le lien entre une personne physique et le document signé électroniquement. </w:t>
      </w:r>
    </w:p>
    <w:p w14:paraId="5CD31A21" w14:textId="77777777" w:rsidR="00BC5AFF" w:rsidRPr="004D720D" w:rsidRDefault="001C2BDB">
      <w:pPr>
        <w:spacing w:after="0"/>
        <w:rPr>
          <w:rFonts w:asciiTheme="majorHAnsi" w:hAnsiTheme="majorHAnsi" w:cstheme="majorHAnsi"/>
        </w:rPr>
      </w:pPr>
      <w:r w:rsidRPr="004D720D">
        <w:rPr>
          <w:rFonts w:asciiTheme="majorHAnsi" w:hAnsiTheme="majorHAnsi" w:cstheme="majorHAnsi"/>
        </w:rPr>
        <w:t xml:space="preserve"> </w:t>
      </w:r>
    </w:p>
    <w:p w14:paraId="299E58BA" w14:textId="77777777" w:rsidR="00BC5AFF" w:rsidRPr="004D720D" w:rsidRDefault="001C2BDB">
      <w:pPr>
        <w:spacing w:after="4" w:line="249" w:lineRule="auto"/>
        <w:ind w:left="-5" w:hanging="10"/>
        <w:jc w:val="both"/>
        <w:rPr>
          <w:rFonts w:asciiTheme="majorHAnsi" w:hAnsiTheme="majorHAnsi" w:cstheme="majorHAnsi"/>
        </w:rPr>
      </w:pPr>
      <w:r w:rsidRPr="004D720D">
        <w:rPr>
          <w:rFonts w:asciiTheme="majorHAnsi" w:hAnsiTheme="majorHAnsi" w:cstheme="majorHAnsi"/>
        </w:rPr>
        <w:t xml:space="preserve">Les catégories de certificats de signature reconnues par la plateforme sont ceux définies dans l’Arrêté du 22 mars 2019 relatif à la signature électronique des contrats de la commande publique. </w:t>
      </w:r>
    </w:p>
    <w:p w14:paraId="3ABEB143" w14:textId="77777777" w:rsidR="00BC5AFF" w:rsidRPr="004D720D" w:rsidRDefault="001C2BDB">
      <w:pPr>
        <w:spacing w:after="4" w:line="249" w:lineRule="auto"/>
        <w:ind w:left="-5" w:hanging="10"/>
        <w:jc w:val="both"/>
        <w:rPr>
          <w:rFonts w:asciiTheme="majorHAnsi" w:hAnsiTheme="majorHAnsi" w:cstheme="majorHAnsi"/>
        </w:rPr>
      </w:pPr>
      <w:r w:rsidRPr="004D720D">
        <w:rPr>
          <w:rFonts w:asciiTheme="majorHAnsi" w:hAnsiTheme="majorHAnsi" w:cstheme="majorHAnsi"/>
        </w:rPr>
        <w:t xml:space="preserve">Les formats de signature sont </w:t>
      </w:r>
      <w:proofErr w:type="spellStart"/>
      <w:r w:rsidRPr="004D720D">
        <w:rPr>
          <w:rFonts w:asciiTheme="majorHAnsi" w:hAnsiTheme="majorHAnsi" w:cstheme="majorHAnsi"/>
        </w:rPr>
        <w:t>XAdES</w:t>
      </w:r>
      <w:proofErr w:type="spellEnd"/>
      <w:r w:rsidRPr="004D720D">
        <w:rPr>
          <w:rFonts w:asciiTheme="majorHAnsi" w:hAnsiTheme="majorHAnsi" w:cstheme="majorHAnsi"/>
        </w:rPr>
        <w:t xml:space="preserve">, </w:t>
      </w:r>
      <w:proofErr w:type="spellStart"/>
      <w:r w:rsidRPr="004D720D">
        <w:rPr>
          <w:rFonts w:asciiTheme="majorHAnsi" w:hAnsiTheme="majorHAnsi" w:cstheme="majorHAnsi"/>
        </w:rPr>
        <w:t>CAdES</w:t>
      </w:r>
      <w:proofErr w:type="spellEnd"/>
      <w:r w:rsidRPr="004D720D">
        <w:rPr>
          <w:rFonts w:asciiTheme="majorHAnsi" w:hAnsiTheme="majorHAnsi" w:cstheme="majorHAnsi"/>
        </w:rPr>
        <w:t xml:space="preserve"> ou </w:t>
      </w:r>
      <w:proofErr w:type="spellStart"/>
      <w:r w:rsidRPr="004D720D">
        <w:rPr>
          <w:rFonts w:asciiTheme="majorHAnsi" w:hAnsiTheme="majorHAnsi" w:cstheme="majorHAnsi"/>
        </w:rPr>
        <w:t>PAdES</w:t>
      </w:r>
      <w:proofErr w:type="spellEnd"/>
      <w:r w:rsidRPr="004D720D">
        <w:rPr>
          <w:rFonts w:asciiTheme="majorHAnsi" w:hAnsiTheme="majorHAnsi" w:cstheme="majorHAnsi"/>
        </w:rPr>
        <w:t xml:space="preserve"> tels que mentionnés aux articles 1 et 2 de la décision d’exécution (UE) n° 2015/1506 de la Commission du 8 septembre 2015 susvisée.  </w:t>
      </w:r>
    </w:p>
    <w:p w14:paraId="40A31B13" w14:textId="77777777" w:rsidR="00BC5AFF" w:rsidRPr="004D720D" w:rsidRDefault="001C2BDB">
      <w:pPr>
        <w:spacing w:after="4" w:line="249" w:lineRule="auto"/>
        <w:ind w:left="-5" w:hanging="10"/>
        <w:jc w:val="both"/>
        <w:rPr>
          <w:rFonts w:asciiTheme="majorHAnsi" w:hAnsiTheme="majorHAnsi" w:cstheme="majorHAnsi"/>
        </w:rPr>
      </w:pPr>
      <w:r w:rsidRPr="004D720D">
        <w:rPr>
          <w:rFonts w:asciiTheme="majorHAnsi" w:hAnsiTheme="majorHAnsi" w:cstheme="majorHAnsi"/>
        </w:rPr>
        <w:t xml:space="preserve">Pour chaque document sur lesquels une signature électronique est apposée, la signature doit émanée d’une personne habilitée à engager le candidat. Cette personne est soit le représentant légale du candidat, soit toute autre personne bénéficiant d’une délégation de pouvoir ou de signature établie par le représentant légal. </w:t>
      </w:r>
    </w:p>
    <w:p w14:paraId="4C528989" w14:textId="77777777" w:rsidR="00BC5AFF" w:rsidRPr="004D720D" w:rsidRDefault="001C2BDB">
      <w:pPr>
        <w:spacing w:after="12"/>
        <w:rPr>
          <w:rFonts w:asciiTheme="majorHAnsi" w:hAnsiTheme="majorHAnsi" w:cstheme="majorHAnsi"/>
        </w:rPr>
      </w:pPr>
      <w:r w:rsidRPr="004D720D">
        <w:rPr>
          <w:rFonts w:asciiTheme="majorHAnsi" w:hAnsiTheme="majorHAnsi" w:cstheme="majorHAnsi"/>
        </w:rPr>
        <w:t xml:space="preserve"> </w:t>
      </w:r>
    </w:p>
    <w:p w14:paraId="15731A40" w14:textId="77777777" w:rsidR="00BC5AFF" w:rsidRPr="004D720D" w:rsidRDefault="001C2BDB">
      <w:pPr>
        <w:spacing w:after="4" w:line="249" w:lineRule="auto"/>
        <w:ind w:left="-5" w:hanging="10"/>
        <w:jc w:val="both"/>
        <w:rPr>
          <w:rFonts w:asciiTheme="majorHAnsi" w:hAnsiTheme="majorHAnsi" w:cstheme="majorHAnsi"/>
        </w:rPr>
      </w:pPr>
      <w:r w:rsidRPr="004D720D">
        <w:rPr>
          <w:rFonts w:asciiTheme="majorHAnsi" w:hAnsiTheme="majorHAnsi" w:cstheme="majorHAnsi"/>
          <w:u w:val="single" w:color="000000"/>
        </w:rPr>
        <w:t>AVERTISSEMENT :</w:t>
      </w:r>
      <w:r w:rsidRPr="004D720D">
        <w:rPr>
          <w:rFonts w:asciiTheme="majorHAnsi" w:hAnsiTheme="majorHAnsi" w:cstheme="majorHAnsi"/>
        </w:rPr>
        <w:t xml:space="preserve"> La durée de téléchargement de l’offre et donc de la réception par la plateforme de dématérialisation est fonction du débit de l’accès Internet du candidat et de la taille des fichiers transmis. Ainsi, il est demandé au candidat de ne transmettre que les documents nécessaires à l’appréciation de leurs candidatures et offres. </w:t>
      </w:r>
    </w:p>
    <w:p w14:paraId="7BC2B5AE" w14:textId="77777777" w:rsidR="00BC5AFF" w:rsidRPr="004D720D" w:rsidRDefault="001C2BDB">
      <w:pPr>
        <w:spacing w:after="4" w:line="249" w:lineRule="auto"/>
        <w:ind w:left="-5" w:hanging="10"/>
        <w:jc w:val="both"/>
        <w:rPr>
          <w:rFonts w:asciiTheme="majorHAnsi" w:hAnsiTheme="majorHAnsi" w:cstheme="majorHAnsi"/>
        </w:rPr>
      </w:pPr>
      <w:r w:rsidRPr="004D720D">
        <w:rPr>
          <w:rFonts w:asciiTheme="majorHAnsi" w:hAnsiTheme="majorHAnsi" w:cstheme="majorHAnsi"/>
        </w:rPr>
        <w:lastRenderedPageBreak/>
        <w:t xml:space="preserve">RAPPEL : Seule la date et heure de réception de l’offre par la plateforme est prise en compte et en aucun cas la date d’envoi par le candidat. Il est donc recommandé au candidat de prévoir ce délai de réception afin de respecter les date et heure limites de remise des offres indiquées dans les documents de consultation. </w:t>
      </w:r>
    </w:p>
    <w:p w14:paraId="13961AEA" w14:textId="567E358D" w:rsidR="00DC28F5" w:rsidRPr="001C2BDB" w:rsidRDefault="001C2BDB" w:rsidP="001C2BDB">
      <w:pPr>
        <w:spacing w:after="0"/>
        <w:rPr>
          <w:rFonts w:asciiTheme="majorHAnsi" w:hAnsiTheme="majorHAnsi" w:cstheme="majorHAnsi"/>
        </w:rPr>
      </w:pPr>
      <w:r w:rsidRPr="004D720D">
        <w:rPr>
          <w:rFonts w:asciiTheme="majorHAnsi" w:hAnsiTheme="majorHAnsi" w:cstheme="majorHAnsi"/>
        </w:rPr>
        <w:t xml:space="preserve"> Le fuseau horaire de référence est celui de (GMT+01:00) Paris, Bruxelles, Copenhague, Madrid. </w:t>
      </w:r>
    </w:p>
    <w:p w14:paraId="0093519D" w14:textId="77777777" w:rsidR="00DC28F5" w:rsidRDefault="00DC28F5">
      <w:pPr>
        <w:spacing w:after="0"/>
        <w:ind w:left="-5" w:hanging="10"/>
        <w:rPr>
          <w:rFonts w:asciiTheme="majorHAnsi" w:hAnsiTheme="majorHAnsi" w:cstheme="majorHAnsi"/>
          <w:u w:val="single" w:color="000000"/>
        </w:rPr>
      </w:pPr>
    </w:p>
    <w:p w14:paraId="2EAE95E7" w14:textId="77777777" w:rsidR="00BC5AFF" w:rsidRPr="00BA75CB" w:rsidRDefault="001C2BDB">
      <w:pPr>
        <w:spacing w:after="0"/>
        <w:ind w:left="-5" w:hanging="10"/>
        <w:rPr>
          <w:rFonts w:asciiTheme="majorHAnsi" w:hAnsiTheme="majorHAnsi" w:cstheme="majorHAnsi"/>
        </w:rPr>
      </w:pPr>
      <w:r w:rsidRPr="00BA75CB">
        <w:rPr>
          <w:rFonts w:asciiTheme="majorHAnsi" w:hAnsiTheme="majorHAnsi" w:cstheme="majorHAnsi"/>
          <w:u w:val="single" w:color="000000"/>
        </w:rPr>
        <w:t>Taille et format des documents :</w:t>
      </w:r>
      <w:r w:rsidRPr="00BA75CB">
        <w:rPr>
          <w:rFonts w:asciiTheme="majorHAnsi" w:hAnsiTheme="majorHAnsi" w:cstheme="majorHAnsi"/>
        </w:rPr>
        <w:t xml:space="preserve"> </w:t>
      </w:r>
    </w:p>
    <w:p w14:paraId="7AB99CA7" w14:textId="77777777" w:rsidR="00BC5AFF" w:rsidRPr="00BA75CB" w:rsidRDefault="001C2BDB">
      <w:pPr>
        <w:spacing w:after="0"/>
        <w:rPr>
          <w:rFonts w:asciiTheme="majorHAnsi" w:hAnsiTheme="majorHAnsi" w:cstheme="majorHAnsi"/>
        </w:rPr>
      </w:pPr>
      <w:r w:rsidRPr="00BA75CB">
        <w:rPr>
          <w:rFonts w:asciiTheme="majorHAnsi" w:hAnsiTheme="majorHAnsi" w:cstheme="majorHAnsi"/>
        </w:rPr>
        <w:t xml:space="preserve"> </w:t>
      </w:r>
    </w:p>
    <w:p w14:paraId="3DBBA0ED" w14:textId="7A1031BE" w:rsidR="00BC5AFF" w:rsidRPr="00BA75CB" w:rsidRDefault="001C2BDB">
      <w:pPr>
        <w:spacing w:after="0" w:line="248" w:lineRule="auto"/>
        <w:ind w:left="-3" w:hanging="10"/>
        <w:jc w:val="both"/>
        <w:rPr>
          <w:rFonts w:asciiTheme="majorHAnsi" w:hAnsiTheme="majorHAnsi" w:cstheme="majorHAnsi"/>
        </w:rPr>
      </w:pPr>
      <w:r w:rsidRPr="00BA75CB">
        <w:rPr>
          <w:rFonts w:asciiTheme="majorHAnsi" w:hAnsiTheme="majorHAnsi" w:cstheme="majorHAnsi"/>
        </w:rPr>
        <w:t>Les fichiers des candidats devront, sous peine d’irrecevabilité, être transmis dans des formats largement disponibles (.</w:t>
      </w:r>
      <w:proofErr w:type="gramStart"/>
      <w:r w:rsidRPr="00BA75CB">
        <w:rPr>
          <w:rFonts w:asciiTheme="majorHAnsi" w:hAnsiTheme="majorHAnsi" w:cstheme="majorHAnsi"/>
        </w:rPr>
        <w:t>zip;</w:t>
      </w:r>
      <w:proofErr w:type="gramEnd"/>
      <w:r w:rsidRPr="00BA75CB">
        <w:rPr>
          <w:rFonts w:asciiTheme="majorHAnsi" w:hAnsiTheme="majorHAnsi" w:cstheme="majorHAnsi"/>
        </w:rPr>
        <w:t xml:space="preserve"> Excel, PowerPoint, Access (Pack Microsoft), PDF Acrobat…).Par ailleurs, il est précisé qu’il </w:t>
      </w:r>
      <w:r w:rsidR="00447987">
        <w:rPr>
          <w:rFonts w:asciiTheme="majorHAnsi" w:hAnsiTheme="majorHAnsi" w:cstheme="majorHAnsi"/>
        </w:rPr>
        <w:t xml:space="preserve">est interdit </w:t>
      </w:r>
      <w:r w:rsidRPr="00BA75CB">
        <w:rPr>
          <w:rFonts w:asciiTheme="majorHAnsi" w:hAnsiTheme="majorHAnsi" w:cstheme="majorHAnsi"/>
        </w:rPr>
        <w:t xml:space="preserve">aux candidats d’utiliser des fichiers au format « .exe ». </w:t>
      </w:r>
    </w:p>
    <w:p w14:paraId="621975B1" w14:textId="77777777" w:rsidR="00BC5AFF" w:rsidRPr="00BA75CB" w:rsidRDefault="001C2BDB">
      <w:pPr>
        <w:spacing w:after="0"/>
        <w:rPr>
          <w:rFonts w:asciiTheme="majorHAnsi" w:hAnsiTheme="majorHAnsi" w:cstheme="majorHAnsi"/>
        </w:rPr>
      </w:pPr>
      <w:r w:rsidRPr="00BA75CB">
        <w:rPr>
          <w:rFonts w:asciiTheme="majorHAnsi" w:hAnsiTheme="majorHAnsi" w:cstheme="majorHAnsi"/>
        </w:rPr>
        <w:t xml:space="preserve"> </w:t>
      </w:r>
    </w:p>
    <w:p w14:paraId="05C50017" w14:textId="77777777" w:rsidR="00BC5AFF" w:rsidRPr="00BA75CB" w:rsidRDefault="001C2BDB">
      <w:pPr>
        <w:spacing w:after="0" w:line="248" w:lineRule="auto"/>
        <w:ind w:left="-3" w:hanging="10"/>
        <w:jc w:val="both"/>
        <w:rPr>
          <w:rFonts w:asciiTheme="majorHAnsi" w:hAnsiTheme="majorHAnsi" w:cstheme="majorHAnsi"/>
        </w:rPr>
      </w:pPr>
      <w:r w:rsidRPr="00BA75CB">
        <w:rPr>
          <w:rFonts w:asciiTheme="majorHAnsi" w:hAnsiTheme="majorHAnsi" w:cstheme="majorHAnsi"/>
        </w:rPr>
        <w:t xml:space="preserve">Le nom des fichiers ne doit pas comporter plus de 35 caractères sous peine d'impossibilité d'ouverture. </w:t>
      </w:r>
    </w:p>
    <w:p w14:paraId="71A11E56" w14:textId="77777777" w:rsidR="00BC5AFF" w:rsidRPr="00BA75CB" w:rsidRDefault="001C2BDB">
      <w:pPr>
        <w:spacing w:after="0"/>
        <w:rPr>
          <w:rFonts w:asciiTheme="majorHAnsi" w:hAnsiTheme="majorHAnsi" w:cstheme="majorHAnsi"/>
        </w:rPr>
      </w:pPr>
      <w:r w:rsidRPr="00BA75CB">
        <w:rPr>
          <w:rFonts w:asciiTheme="majorHAnsi" w:hAnsiTheme="majorHAnsi" w:cstheme="majorHAnsi"/>
        </w:rPr>
        <w:t xml:space="preserve"> </w:t>
      </w:r>
    </w:p>
    <w:p w14:paraId="4D15BAFC" w14:textId="77777777" w:rsidR="00BC5AFF" w:rsidRPr="00BA75CB" w:rsidRDefault="001C2BDB">
      <w:pPr>
        <w:spacing w:after="0" w:line="248" w:lineRule="auto"/>
        <w:ind w:left="-3" w:hanging="10"/>
        <w:jc w:val="both"/>
        <w:rPr>
          <w:rFonts w:asciiTheme="majorHAnsi" w:hAnsiTheme="majorHAnsi" w:cstheme="majorHAnsi"/>
        </w:rPr>
      </w:pPr>
      <w:r w:rsidRPr="00BA75CB">
        <w:rPr>
          <w:rFonts w:asciiTheme="majorHAnsi" w:hAnsiTheme="majorHAnsi" w:cstheme="majorHAnsi"/>
        </w:rPr>
        <w:t xml:space="preserve">Détection d'un virus informatique dans un fichier : Tout document contenant un virus informatique fera l'objet d'un archivage de sécurité et sera réputé n'avoir jamais été reçu. Le candidat concerné en sera informé. Dans ces conditions, il est conseillé aux candidats de soumettre leurs documents à un anti-virus avant envoi. </w:t>
      </w:r>
    </w:p>
    <w:p w14:paraId="55B32532" w14:textId="77777777" w:rsidR="00BC5AFF" w:rsidRPr="00BA75CB" w:rsidRDefault="001C2BDB">
      <w:pPr>
        <w:spacing w:after="0"/>
        <w:rPr>
          <w:rFonts w:asciiTheme="majorHAnsi" w:hAnsiTheme="majorHAnsi" w:cstheme="majorHAnsi"/>
        </w:rPr>
      </w:pPr>
      <w:r w:rsidRPr="00BA75CB">
        <w:rPr>
          <w:rFonts w:asciiTheme="majorHAnsi" w:hAnsiTheme="majorHAnsi" w:cstheme="majorHAnsi"/>
        </w:rPr>
        <w:t xml:space="preserve"> </w:t>
      </w:r>
    </w:p>
    <w:p w14:paraId="54A6CC39" w14:textId="77777777" w:rsidR="00BC5AFF" w:rsidRPr="00BA75CB" w:rsidRDefault="001C2BDB">
      <w:pPr>
        <w:spacing w:after="0"/>
        <w:ind w:left="-5" w:hanging="10"/>
        <w:rPr>
          <w:rFonts w:asciiTheme="majorHAnsi" w:hAnsiTheme="majorHAnsi" w:cstheme="majorHAnsi"/>
        </w:rPr>
      </w:pPr>
      <w:r w:rsidRPr="00BA75CB">
        <w:rPr>
          <w:rFonts w:asciiTheme="majorHAnsi" w:hAnsiTheme="majorHAnsi" w:cstheme="majorHAnsi"/>
          <w:u w:val="single" w:color="000000"/>
        </w:rPr>
        <w:t>Outils requis pour répondre par voie dématérialisée :</w:t>
      </w:r>
      <w:r w:rsidRPr="00BA75CB">
        <w:rPr>
          <w:rFonts w:asciiTheme="majorHAnsi" w:hAnsiTheme="majorHAnsi" w:cstheme="majorHAnsi"/>
        </w:rPr>
        <w:t xml:space="preserve"> </w:t>
      </w:r>
    </w:p>
    <w:p w14:paraId="1DF5977A" w14:textId="77777777" w:rsidR="00BC5AFF" w:rsidRPr="00BA75CB" w:rsidRDefault="001C2BDB">
      <w:pPr>
        <w:spacing w:after="0"/>
        <w:rPr>
          <w:rFonts w:asciiTheme="majorHAnsi" w:hAnsiTheme="majorHAnsi" w:cstheme="majorHAnsi"/>
        </w:rPr>
      </w:pPr>
      <w:r w:rsidRPr="00BA75CB">
        <w:rPr>
          <w:rFonts w:asciiTheme="majorHAnsi" w:hAnsiTheme="majorHAnsi" w:cstheme="majorHAnsi"/>
        </w:rPr>
        <w:t xml:space="preserve"> </w:t>
      </w:r>
    </w:p>
    <w:p w14:paraId="71C0E4F4" w14:textId="77777777" w:rsidR="00BC5AFF" w:rsidRPr="00BA75CB" w:rsidRDefault="001C2BDB">
      <w:pPr>
        <w:spacing w:after="0" w:line="248" w:lineRule="auto"/>
        <w:ind w:left="-3" w:hanging="10"/>
        <w:jc w:val="both"/>
        <w:rPr>
          <w:rFonts w:asciiTheme="majorHAnsi" w:hAnsiTheme="majorHAnsi" w:cstheme="majorHAnsi"/>
        </w:rPr>
      </w:pPr>
      <w:r w:rsidRPr="00BA75CB">
        <w:rPr>
          <w:rFonts w:asciiTheme="majorHAnsi" w:hAnsiTheme="majorHAnsi" w:cstheme="majorHAnsi"/>
        </w:rPr>
        <w:t xml:space="preserve">Le candidat doit s'assurer de disposer sur son poste de travail des outils listés figurant dans la Rubrique « Aide » Outils Informatiques » à l’adresse : </w:t>
      </w:r>
      <w:r w:rsidRPr="00BA75CB">
        <w:rPr>
          <w:rFonts w:asciiTheme="majorHAnsi" w:hAnsiTheme="majorHAnsi" w:cstheme="majorHAnsi"/>
          <w:color w:val="0000FF"/>
          <w:u w:val="single" w:color="0000FF"/>
        </w:rPr>
        <w:t>https://www.marches-publics.gouv.fr</w:t>
      </w:r>
      <w:r w:rsidRPr="00BA75CB">
        <w:rPr>
          <w:rFonts w:asciiTheme="majorHAnsi" w:hAnsiTheme="majorHAnsi" w:cstheme="majorHAnsi"/>
        </w:rPr>
        <w:t xml:space="preserve"> </w:t>
      </w:r>
    </w:p>
    <w:p w14:paraId="101C6958" w14:textId="77777777" w:rsidR="00BC5AFF" w:rsidRPr="00BA75CB" w:rsidRDefault="001C2BDB">
      <w:pPr>
        <w:spacing w:after="0"/>
        <w:rPr>
          <w:rFonts w:asciiTheme="majorHAnsi" w:hAnsiTheme="majorHAnsi" w:cstheme="majorHAnsi"/>
        </w:rPr>
      </w:pPr>
      <w:r w:rsidRPr="00BA75CB">
        <w:rPr>
          <w:rFonts w:asciiTheme="majorHAnsi" w:hAnsiTheme="majorHAnsi" w:cstheme="majorHAnsi"/>
        </w:rPr>
        <w:t xml:space="preserve"> </w:t>
      </w:r>
    </w:p>
    <w:p w14:paraId="2D01FC75" w14:textId="77777777" w:rsidR="00BC5AFF" w:rsidRPr="00BA75CB" w:rsidRDefault="001C2BDB">
      <w:pPr>
        <w:spacing w:after="0" w:line="248" w:lineRule="auto"/>
        <w:ind w:left="-3" w:hanging="10"/>
        <w:jc w:val="both"/>
        <w:rPr>
          <w:rFonts w:asciiTheme="majorHAnsi" w:hAnsiTheme="majorHAnsi" w:cstheme="majorHAnsi"/>
        </w:rPr>
      </w:pPr>
      <w:r w:rsidRPr="00BA75CB">
        <w:rPr>
          <w:rFonts w:asciiTheme="majorHAnsi" w:hAnsiTheme="majorHAnsi" w:cstheme="majorHAnsi"/>
        </w:rPr>
        <w:t xml:space="preserve">Test de la configuration du poste : La remise d'une réponse électronique exige l'utilisation d'un programme (applet). Ce programme assure le formatage des fichiers de réponse ainsi que les opérations de signature et de chiffrement, le cas échéant. Cet applet nécessite une configuration spécifique de votre poste de travail. </w:t>
      </w:r>
    </w:p>
    <w:p w14:paraId="403EE3C7" w14:textId="77777777" w:rsidR="00BC5AFF" w:rsidRPr="00BA75CB" w:rsidRDefault="001C2BDB">
      <w:pPr>
        <w:spacing w:after="0"/>
        <w:rPr>
          <w:rFonts w:asciiTheme="majorHAnsi" w:hAnsiTheme="majorHAnsi" w:cstheme="majorHAnsi"/>
        </w:rPr>
      </w:pPr>
      <w:r w:rsidRPr="00BA75CB">
        <w:rPr>
          <w:rFonts w:asciiTheme="majorHAnsi" w:hAnsiTheme="majorHAnsi" w:cstheme="majorHAnsi"/>
        </w:rPr>
        <w:t xml:space="preserve"> </w:t>
      </w:r>
    </w:p>
    <w:p w14:paraId="47B529E0" w14:textId="77777777" w:rsidR="00BC5AFF" w:rsidRPr="00BA75CB" w:rsidRDefault="001C2BDB">
      <w:pPr>
        <w:spacing w:after="0" w:line="248" w:lineRule="auto"/>
        <w:ind w:left="-3" w:hanging="10"/>
        <w:jc w:val="both"/>
        <w:rPr>
          <w:rFonts w:asciiTheme="majorHAnsi" w:hAnsiTheme="majorHAnsi" w:cstheme="majorHAnsi"/>
        </w:rPr>
      </w:pPr>
      <w:r w:rsidRPr="00BA75CB">
        <w:rPr>
          <w:rFonts w:asciiTheme="majorHAnsi" w:hAnsiTheme="majorHAnsi" w:cstheme="majorHAnsi"/>
        </w:rPr>
        <w:t xml:space="preserve">Il est conseillé à chaque candidat de vérifier les prérequis pour la remise électronique d'une réponse dans la rubrique « Se préparer à répondre » à l’adresse : </w:t>
      </w:r>
      <w:r w:rsidRPr="00BA75CB">
        <w:rPr>
          <w:rFonts w:asciiTheme="majorHAnsi" w:hAnsiTheme="majorHAnsi" w:cstheme="majorHAnsi"/>
          <w:color w:val="0000FF"/>
          <w:u w:val="single" w:color="0000FF"/>
        </w:rPr>
        <w:t>https://www.marches-publics.gouv.fr</w:t>
      </w:r>
      <w:r w:rsidRPr="00BA75CB">
        <w:rPr>
          <w:rFonts w:asciiTheme="majorHAnsi" w:hAnsiTheme="majorHAnsi" w:cstheme="majorHAnsi"/>
          <w:color w:val="0000FF"/>
        </w:rPr>
        <w:t xml:space="preserve"> </w:t>
      </w:r>
    </w:p>
    <w:p w14:paraId="0C145563" w14:textId="77777777" w:rsidR="00BC5AFF" w:rsidRPr="00BA75CB" w:rsidRDefault="001C2BDB">
      <w:pPr>
        <w:spacing w:after="0"/>
        <w:rPr>
          <w:rFonts w:asciiTheme="majorHAnsi" w:hAnsiTheme="majorHAnsi" w:cstheme="majorHAnsi"/>
        </w:rPr>
      </w:pPr>
      <w:r w:rsidRPr="00BA75CB">
        <w:rPr>
          <w:rFonts w:asciiTheme="majorHAnsi" w:hAnsiTheme="majorHAnsi" w:cstheme="majorHAnsi"/>
          <w:color w:val="0000FF"/>
        </w:rPr>
        <w:t xml:space="preserve"> </w:t>
      </w:r>
    </w:p>
    <w:p w14:paraId="031C76BC" w14:textId="77777777" w:rsidR="00BC5AFF" w:rsidRPr="00BA75CB" w:rsidRDefault="001C2BDB">
      <w:pPr>
        <w:spacing w:after="0" w:line="248" w:lineRule="auto"/>
        <w:ind w:left="-3" w:hanging="10"/>
        <w:jc w:val="both"/>
        <w:rPr>
          <w:rFonts w:asciiTheme="majorHAnsi" w:hAnsiTheme="majorHAnsi" w:cstheme="majorHAnsi"/>
        </w:rPr>
      </w:pPr>
      <w:r w:rsidRPr="00BA75CB">
        <w:rPr>
          <w:rFonts w:asciiTheme="majorHAnsi" w:hAnsiTheme="majorHAnsi" w:cstheme="majorHAnsi"/>
        </w:rPr>
        <w:t xml:space="preserve">Il est également possible de s'entraîner sur la plate-forme avec les consultations de test disponibles dans la rubrique « Se préparer à répondre ». </w:t>
      </w:r>
    </w:p>
    <w:p w14:paraId="7603AD83" w14:textId="77777777" w:rsidR="00BC5AFF" w:rsidRPr="00BA75CB" w:rsidRDefault="001C2BDB" w:rsidP="00DC28F5">
      <w:pPr>
        <w:spacing w:after="0" w:line="248" w:lineRule="auto"/>
        <w:ind w:left="-3" w:hanging="10"/>
        <w:jc w:val="both"/>
        <w:rPr>
          <w:rFonts w:asciiTheme="majorHAnsi" w:hAnsiTheme="majorHAnsi" w:cstheme="majorHAnsi"/>
        </w:rPr>
      </w:pPr>
      <w:r w:rsidRPr="00BA75CB">
        <w:rPr>
          <w:rFonts w:asciiTheme="majorHAnsi" w:hAnsiTheme="majorHAnsi" w:cstheme="majorHAnsi"/>
        </w:rPr>
        <w:t>Avertissement : Chaque candidat doit s’assurer que les messages envoyés par la Plate-forme des Achats de l’Etat (PLACE), notamment nepasrepondre@marches-publics.gouv.fr, ne sont pas traités comme des courriels indésirables</w:t>
      </w:r>
      <w:r w:rsidR="00DC28F5">
        <w:rPr>
          <w:rFonts w:asciiTheme="majorHAnsi" w:hAnsiTheme="majorHAnsi" w:cstheme="majorHAnsi"/>
        </w:rPr>
        <w:t>.</w:t>
      </w:r>
    </w:p>
    <w:p w14:paraId="062462AC" w14:textId="77777777" w:rsidR="00BC5AFF" w:rsidRPr="00BA75CB" w:rsidRDefault="001C2BDB">
      <w:pPr>
        <w:spacing w:after="0"/>
        <w:rPr>
          <w:rFonts w:asciiTheme="majorHAnsi" w:hAnsiTheme="majorHAnsi" w:cstheme="majorHAnsi"/>
        </w:rPr>
      </w:pPr>
      <w:r w:rsidRPr="00BA75CB">
        <w:rPr>
          <w:rFonts w:asciiTheme="majorHAnsi" w:hAnsiTheme="majorHAnsi" w:cstheme="majorHAnsi"/>
        </w:rPr>
        <w:t xml:space="preserve"> </w:t>
      </w:r>
    </w:p>
    <w:p w14:paraId="3CEA1010" w14:textId="77777777" w:rsidR="00BC5AFF" w:rsidRPr="00BA75CB" w:rsidRDefault="001C2BDB">
      <w:pPr>
        <w:pStyle w:val="Titre2"/>
        <w:ind w:left="-3"/>
        <w:rPr>
          <w:rFonts w:asciiTheme="majorHAnsi" w:hAnsiTheme="majorHAnsi" w:cstheme="majorHAnsi"/>
        </w:rPr>
      </w:pPr>
      <w:r w:rsidRPr="00BA75CB">
        <w:rPr>
          <w:rFonts w:asciiTheme="majorHAnsi" w:hAnsiTheme="majorHAnsi" w:cstheme="majorHAnsi"/>
        </w:rPr>
        <w:t xml:space="preserve">4. Notification électronique </w:t>
      </w:r>
    </w:p>
    <w:p w14:paraId="7A771CC3" w14:textId="77777777" w:rsidR="00BC5AFF" w:rsidRPr="00BA75CB" w:rsidRDefault="001C2BDB">
      <w:pPr>
        <w:spacing w:after="0"/>
        <w:rPr>
          <w:rFonts w:asciiTheme="majorHAnsi" w:hAnsiTheme="majorHAnsi" w:cstheme="majorHAnsi"/>
        </w:rPr>
      </w:pPr>
      <w:r w:rsidRPr="00BA75CB">
        <w:rPr>
          <w:rFonts w:asciiTheme="majorHAnsi" w:hAnsiTheme="majorHAnsi" w:cstheme="majorHAnsi"/>
        </w:rPr>
        <w:t xml:space="preserve"> </w:t>
      </w:r>
    </w:p>
    <w:p w14:paraId="469754B5" w14:textId="77777777" w:rsidR="00BC5AFF" w:rsidRPr="00BA75CB" w:rsidRDefault="001C2BDB">
      <w:pPr>
        <w:spacing w:after="0" w:line="248" w:lineRule="auto"/>
        <w:ind w:left="-3" w:hanging="10"/>
        <w:jc w:val="both"/>
        <w:rPr>
          <w:rFonts w:asciiTheme="majorHAnsi" w:hAnsiTheme="majorHAnsi" w:cstheme="majorHAnsi"/>
        </w:rPr>
      </w:pPr>
      <w:r w:rsidRPr="00BA75CB">
        <w:rPr>
          <w:rFonts w:asciiTheme="majorHAnsi" w:hAnsiTheme="majorHAnsi" w:cstheme="majorHAnsi"/>
        </w:rPr>
        <w:t xml:space="preserve">Le GHT </w:t>
      </w:r>
      <w:r w:rsidR="00DC28F5">
        <w:rPr>
          <w:rFonts w:asciiTheme="majorHAnsi" w:hAnsiTheme="majorHAnsi" w:cstheme="majorHAnsi"/>
        </w:rPr>
        <w:t xml:space="preserve">de la Haute-Saône </w:t>
      </w:r>
      <w:r w:rsidRPr="00BA75CB">
        <w:rPr>
          <w:rFonts w:asciiTheme="majorHAnsi" w:hAnsiTheme="majorHAnsi" w:cstheme="majorHAnsi"/>
        </w:rPr>
        <w:t xml:space="preserve">notifie ses marchés publics par voie électronique uniquement. L’attributaire sera invité par mail à retirer le marché sur la plateforme d’échanges électroniques PLACE. La date de notification correspondra à la date de retrait. </w:t>
      </w:r>
    </w:p>
    <w:p w14:paraId="369984F0" w14:textId="77777777" w:rsidR="00BC5AFF" w:rsidRPr="00BA75CB" w:rsidRDefault="001C2BDB">
      <w:pPr>
        <w:spacing w:after="0"/>
        <w:rPr>
          <w:rFonts w:asciiTheme="majorHAnsi" w:hAnsiTheme="majorHAnsi" w:cstheme="majorHAnsi"/>
        </w:rPr>
      </w:pPr>
      <w:r w:rsidRPr="00BA75CB">
        <w:rPr>
          <w:rFonts w:asciiTheme="majorHAnsi" w:hAnsiTheme="majorHAnsi" w:cstheme="majorHAnsi"/>
        </w:rPr>
        <w:t xml:space="preserve"> </w:t>
      </w:r>
    </w:p>
    <w:p w14:paraId="3A8DB538" w14:textId="77777777" w:rsidR="00BC5AFF" w:rsidRPr="00BA75CB" w:rsidRDefault="001C2BDB">
      <w:pPr>
        <w:spacing w:after="0" w:line="248" w:lineRule="auto"/>
        <w:ind w:left="-3" w:hanging="10"/>
        <w:jc w:val="both"/>
        <w:rPr>
          <w:rFonts w:asciiTheme="majorHAnsi" w:hAnsiTheme="majorHAnsi" w:cstheme="majorHAnsi"/>
        </w:rPr>
      </w:pPr>
      <w:r w:rsidRPr="00BA75CB">
        <w:rPr>
          <w:rFonts w:asciiTheme="majorHAnsi" w:hAnsiTheme="majorHAnsi" w:cstheme="majorHAnsi"/>
        </w:rPr>
        <w:t xml:space="preserve">L’utilisation de la plateforme ne nécessite aucun enregistrement préalable et n’occasionne aucune dépense supplémentaire pour l’attributaire d’un marché. Seul un accès internet est nécessaire. </w:t>
      </w:r>
    </w:p>
    <w:p w14:paraId="696DEA80" w14:textId="77777777" w:rsidR="00BC5AFF" w:rsidRPr="00BA75CB" w:rsidRDefault="001C2BDB">
      <w:pPr>
        <w:spacing w:after="0"/>
        <w:rPr>
          <w:rFonts w:asciiTheme="majorHAnsi" w:hAnsiTheme="majorHAnsi" w:cstheme="majorHAnsi"/>
        </w:rPr>
      </w:pPr>
      <w:r w:rsidRPr="00BA75CB">
        <w:rPr>
          <w:rFonts w:asciiTheme="majorHAnsi" w:hAnsiTheme="majorHAnsi" w:cstheme="majorHAnsi"/>
        </w:rPr>
        <w:t xml:space="preserve"> </w:t>
      </w:r>
    </w:p>
    <w:p w14:paraId="38CA2371" w14:textId="77777777" w:rsidR="00BC5AFF" w:rsidRPr="00BA75CB" w:rsidRDefault="001C2BDB">
      <w:pPr>
        <w:pStyle w:val="Titre2"/>
        <w:ind w:left="-3"/>
        <w:rPr>
          <w:rFonts w:asciiTheme="majorHAnsi" w:hAnsiTheme="majorHAnsi" w:cstheme="majorHAnsi"/>
        </w:rPr>
      </w:pPr>
      <w:r w:rsidRPr="00BA75CB">
        <w:rPr>
          <w:rFonts w:asciiTheme="majorHAnsi" w:hAnsiTheme="majorHAnsi" w:cstheme="majorHAnsi"/>
        </w:rPr>
        <w:t xml:space="preserve">5. Assistance  </w:t>
      </w:r>
    </w:p>
    <w:p w14:paraId="3DBE71F4" w14:textId="77777777" w:rsidR="00BC5AFF" w:rsidRPr="00BA75CB" w:rsidRDefault="001C2BDB">
      <w:pPr>
        <w:spacing w:after="0"/>
        <w:rPr>
          <w:rFonts w:asciiTheme="majorHAnsi" w:hAnsiTheme="majorHAnsi" w:cstheme="majorHAnsi"/>
        </w:rPr>
      </w:pPr>
      <w:r w:rsidRPr="00BA75CB">
        <w:rPr>
          <w:rFonts w:asciiTheme="majorHAnsi" w:hAnsiTheme="majorHAnsi" w:cstheme="majorHAnsi"/>
        </w:rPr>
        <w:t xml:space="preserve"> </w:t>
      </w:r>
    </w:p>
    <w:p w14:paraId="24DFDE99" w14:textId="77777777" w:rsidR="00603D40" w:rsidRPr="00913885" w:rsidRDefault="001C2BDB">
      <w:pPr>
        <w:spacing w:after="4" w:line="249" w:lineRule="auto"/>
        <w:ind w:left="-5" w:hanging="10"/>
        <w:jc w:val="both"/>
        <w:rPr>
          <w:rFonts w:asciiTheme="majorHAnsi" w:hAnsiTheme="majorHAnsi" w:cstheme="majorHAnsi"/>
        </w:rPr>
      </w:pPr>
      <w:r w:rsidRPr="00913885">
        <w:rPr>
          <w:rFonts w:asciiTheme="majorHAnsi" w:hAnsiTheme="majorHAnsi" w:cstheme="majorHAnsi"/>
        </w:rPr>
        <w:t xml:space="preserve">Le « guide utilisateur général entreprise » est disponible, dans la rubrique « aide » à l’adresse suivante : </w:t>
      </w:r>
    </w:p>
    <w:p w14:paraId="21B133FC" w14:textId="79F17FED" w:rsidR="00913885" w:rsidRPr="004D720D" w:rsidRDefault="002C7AC8">
      <w:pPr>
        <w:spacing w:after="4" w:line="249" w:lineRule="auto"/>
        <w:ind w:left="-5" w:hanging="10"/>
        <w:jc w:val="both"/>
        <w:rPr>
          <w:rFonts w:asciiTheme="majorHAnsi" w:hAnsiTheme="majorHAnsi" w:cstheme="majorHAnsi"/>
          <w:color w:val="0000FF"/>
          <w:u w:val="single" w:color="0000FF"/>
        </w:rPr>
      </w:pPr>
      <w:hyperlink r:id="rId11" w:history="1">
        <w:r w:rsidR="00913885" w:rsidRPr="004D720D">
          <w:rPr>
            <w:rFonts w:asciiTheme="majorHAnsi" w:hAnsiTheme="majorHAnsi" w:cstheme="majorHAnsi"/>
            <w:color w:val="0000FF"/>
            <w:u w:val="single" w:color="0000FF"/>
          </w:rPr>
          <w:t>https://www.marches-publics.gouv.fr/?page=entreprise.EntrepriseGuide</w:t>
        </w:r>
      </w:hyperlink>
      <w:r w:rsidR="004D720D" w:rsidRPr="004D720D">
        <w:rPr>
          <w:rFonts w:asciiTheme="majorHAnsi" w:hAnsiTheme="majorHAnsi" w:cstheme="majorHAnsi"/>
          <w:color w:val="0000FF"/>
          <w:u w:val="single" w:color="0000FF"/>
        </w:rPr>
        <w:t xml:space="preserve"> </w:t>
      </w:r>
    </w:p>
    <w:p w14:paraId="5238EB49" w14:textId="77777777" w:rsidR="00913885" w:rsidRPr="00913885" w:rsidRDefault="00913885">
      <w:pPr>
        <w:spacing w:after="4" w:line="249" w:lineRule="auto"/>
        <w:ind w:left="-5" w:hanging="10"/>
        <w:jc w:val="both"/>
        <w:rPr>
          <w:rFonts w:asciiTheme="majorHAnsi" w:hAnsiTheme="majorHAnsi" w:cstheme="majorHAnsi"/>
        </w:rPr>
      </w:pPr>
    </w:p>
    <w:p w14:paraId="4E26778E" w14:textId="26241B52" w:rsidR="00BC5AFF" w:rsidRPr="00BA75CB" w:rsidRDefault="001C2BDB">
      <w:pPr>
        <w:spacing w:after="4" w:line="249" w:lineRule="auto"/>
        <w:ind w:left="-5" w:hanging="10"/>
        <w:jc w:val="both"/>
        <w:rPr>
          <w:rFonts w:asciiTheme="majorHAnsi" w:hAnsiTheme="majorHAnsi" w:cstheme="majorHAnsi"/>
        </w:rPr>
      </w:pPr>
      <w:r w:rsidRPr="00913885">
        <w:rPr>
          <w:rFonts w:asciiTheme="majorHAnsi" w:hAnsiTheme="majorHAnsi" w:cstheme="majorHAnsi"/>
        </w:rPr>
        <w:t xml:space="preserve">Il décrit toutes les étapes à suivre afin de procéder au dépôt d’une réponse électronique. </w:t>
      </w:r>
    </w:p>
    <w:p w14:paraId="34C55B3A" w14:textId="77777777" w:rsidR="00BC5AFF" w:rsidRPr="00BA75CB" w:rsidRDefault="001C2BDB">
      <w:pPr>
        <w:spacing w:after="0"/>
        <w:rPr>
          <w:rFonts w:asciiTheme="majorHAnsi" w:hAnsiTheme="majorHAnsi" w:cstheme="majorHAnsi"/>
        </w:rPr>
      </w:pPr>
      <w:r w:rsidRPr="00BA75CB">
        <w:rPr>
          <w:rFonts w:asciiTheme="majorHAnsi" w:hAnsiTheme="majorHAnsi" w:cstheme="majorHAnsi"/>
        </w:rPr>
        <w:t xml:space="preserve"> </w:t>
      </w:r>
    </w:p>
    <w:p w14:paraId="12499558" w14:textId="25F1349E" w:rsidR="00BC5AFF" w:rsidRDefault="001C2BDB">
      <w:pPr>
        <w:spacing w:after="0" w:line="248" w:lineRule="auto"/>
        <w:ind w:left="-3" w:hanging="10"/>
        <w:jc w:val="both"/>
        <w:rPr>
          <w:rFonts w:asciiTheme="majorHAnsi" w:hAnsiTheme="majorHAnsi" w:cstheme="majorHAnsi"/>
        </w:rPr>
      </w:pPr>
      <w:r w:rsidRPr="00BA75CB">
        <w:rPr>
          <w:rFonts w:asciiTheme="majorHAnsi" w:hAnsiTheme="majorHAnsi" w:cstheme="majorHAnsi"/>
        </w:rPr>
        <w:t xml:space="preserve">Afin d’accompagner les entreprises dans l’installation et l’utilisation de la plateforme dématérialisée PLACE, une assistance est à leur disposition. </w:t>
      </w:r>
    </w:p>
    <w:p w14:paraId="317C57E8" w14:textId="0A453634" w:rsidR="007C336C" w:rsidRDefault="007C336C">
      <w:pPr>
        <w:spacing w:after="0" w:line="248" w:lineRule="auto"/>
        <w:ind w:left="-3" w:hanging="10"/>
        <w:jc w:val="both"/>
        <w:rPr>
          <w:rFonts w:asciiTheme="majorHAnsi" w:hAnsiTheme="majorHAnsi" w:cstheme="majorHAnsi"/>
        </w:rPr>
      </w:pPr>
    </w:p>
    <w:p w14:paraId="1C3D10FB" w14:textId="6DC1277A" w:rsidR="007C336C" w:rsidRDefault="007C336C">
      <w:pPr>
        <w:spacing w:after="0" w:line="248" w:lineRule="auto"/>
        <w:ind w:left="-3" w:hanging="10"/>
        <w:jc w:val="both"/>
        <w:rPr>
          <w:rFonts w:asciiTheme="majorHAnsi" w:hAnsiTheme="majorHAnsi" w:cstheme="majorHAnsi"/>
        </w:rPr>
      </w:pPr>
    </w:p>
    <w:p w14:paraId="2614594D" w14:textId="75B29AB0" w:rsidR="007C336C" w:rsidRDefault="007C336C">
      <w:pPr>
        <w:spacing w:after="0" w:line="248" w:lineRule="auto"/>
        <w:ind w:left="-3" w:hanging="10"/>
        <w:jc w:val="both"/>
        <w:rPr>
          <w:rFonts w:asciiTheme="majorHAnsi" w:hAnsiTheme="majorHAnsi" w:cstheme="majorHAnsi"/>
        </w:rPr>
      </w:pPr>
    </w:p>
    <w:p w14:paraId="61B79168" w14:textId="5A5221B7" w:rsidR="008E4897" w:rsidRDefault="008E4897">
      <w:pPr>
        <w:spacing w:after="0" w:line="248" w:lineRule="auto"/>
        <w:ind w:left="-3" w:hanging="10"/>
        <w:jc w:val="both"/>
        <w:rPr>
          <w:rFonts w:asciiTheme="majorHAnsi" w:hAnsiTheme="majorHAnsi" w:cstheme="majorHAnsi"/>
        </w:rPr>
      </w:pPr>
    </w:p>
    <w:p w14:paraId="1BE448A4" w14:textId="77777777" w:rsidR="008E4897" w:rsidRDefault="008E4897">
      <w:pPr>
        <w:spacing w:after="0" w:line="248" w:lineRule="auto"/>
        <w:ind w:left="-3" w:hanging="10"/>
        <w:jc w:val="both"/>
        <w:rPr>
          <w:rFonts w:asciiTheme="majorHAnsi" w:hAnsiTheme="majorHAnsi" w:cstheme="majorHAnsi"/>
        </w:rPr>
      </w:pPr>
    </w:p>
    <w:p w14:paraId="42213852" w14:textId="77777777" w:rsidR="008E4897" w:rsidRDefault="008E4897">
      <w:pPr>
        <w:spacing w:after="0" w:line="248" w:lineRule="auto"/>
        <w:ind w:left="-3" w:hanging="10"/>
        <w:jc w:val="both"/>
        <w:rPr>
          <w:rFonts w:asciiTheme="majorHAnsi" w:hAnsiTheme="majorHAnsi" w:cstheme="majorHAnsi"/>
        </w:rPr>
      </w:pPr>
    </w:p>
    <w:p w14:paraId="3906AE53" w14:textId="6649A2DF" w:rsidR="007C336C" w:rsidRDefault="007C336C" w:rsidP="007C336C">
      <w:pPr>
        <w:pStyle w:val="Paragraphedeliste"/>
        <w:numPr>
          <w:ilvl w:val="0"/>
          <w:numId w:val="1"/>
        </w:numPr>
        <w:pBdr>
          <w:top w:val="single" w:sz="4" w:space="0" w:color="000000"/>
          <w:left w:val="single" w:sz="4" w:space="0" w:color="000000"/>
          <w:bottom w:val="single" w:sz="4" w:space="0" w:color="000000"/>
          <w:right w:val="single" w:sz="4" w:space="0" w:color="000000"/>
        </w:pBdr>
        <w:spacing w:after="0"/>
        <w:jc w:val="center"/>
      </w:pPr>
      <w:r>
        <w:rPr>
          <w:rFonts w:ascii="Arial" w:eastAsia="Arial" w:hAnsi="Arial" w:cs="Arial"/>
          <w:b/>
          <w:sz w:val="28"/>
        </w:rPr>
        <w:t>Protection des données à caractère personnel</w:t>
      </w:r>
      <w:r w:rsidRPr="007C336C">
        <w:rPr>
          <w:rFonts w:ascii="Arial" w:eastAsia="Arial" w:hAnsi="Arial" w:cs="Arial"/>
          <w:b/>
          <w:sz w:val="28"/>
        </w:rPr>
        <w:t xml:space="preserve"> </w:t>
      </w:r>
    </w:p>
    <w:p w14:paraId="28A76627" w14:textId="77777777" w:rsidR="007C336C" w:rsidRPr="00BA75CB" w:rsidRDefault="007C336C">
      <w:pPr>
        <w:spacing w:after="0" w:line="248" w:lineRule="auto"/>
        <w:ind w:left="-3" w:hanging="10"/>
        <w:jc w:val="both"/>
        <w:rPr>
          <w:rFonts w:asciiTheme="majorHAnsi" w:hAnsiTheme="majorHAnsi" w:cstheme="majorHAnsi"/>
        </w:rPr>
      </w:pPr>
    </w:p>
    <w:p w14:paraId="66A29A33" w14:textId="17ACCC5B" w:rsidR="007C336C" w:rsidRPr="007C336C" w:rsidRDefault="007C336C" w:rsidP="007C336C">
      <w:pPr>
        <w:pStyle w:val="Titre2"/>
        <w:numPr>
          <w:ilvl w:val="0"/>
          <w:numId w:val="5"/>
        </w:numPr>
        <w:rPr>
          <w:rFonts w:asciiTheme="majorHAnsi" w:hAnsiTheme="majorHAnsi" w:cstheme="majorHAnsi"/>
        </w:rPr>
      </w:pPr>
      <w:bookmarkStart w:id="0" w:name="_Hlk190329685"/>
      <w:r w:rsidRPr="007C336C">
        <w:rPr>
          <w:rFonts w:asciiTheme="majorHAnsi" w:hAnsiTheme="majorHAnsi" w:cstheme="majorHAnsi"/>
        </w:rPr>
        <w:t>Description du traitement</w:t>
      </w:r>
    </w:p>
    <w:bookmarkEnd w:id="0"/>
    <w:p w14:paraId="0702740B" w14:textId="42F997EF" w:rsidR="007C336C" w:rsidRPr="00D915EE" w:rsidRDefault="007C336C" w:rsidP="007C336C">
      <w:pPr>
        <w:spacing w:before="120"/>
        <w:ind w:left="851"/>
      </w:pPr>
      <w:r w:rsidRPr="00D915EE">
        <w:t>Dans le cadre de leurs relations contractuelles, les parties s’engagent à respecter la règlementation en vigueur applicable au traitement de données à caractère personnel et, en particulier, le règlement (UE)</w:t>
      </w:r>
      <w:r w:rsidR="005449E9">
        <w:t>.</w:t>
      </w:r>
    </w:p>
    <w:p w14:paraId="042A717D" w14:textId="77777777" w:rsidR="007C336C" w:rsidRPr="00D915EE" w:rsidRDefault="007C336C" w:rsidP="007C336C">
      <w:pPr>
        <w:spacing w:before="120"/>
        <w:ind w:left="851"/>
      </w:pPr>
      <w:r w:rsidRPr="00D915EE">
        <w:t>2016/679 du Parlement européen et du Conseil du 27 avril 2016 applicable à compter du 25 mai 2018 ainsi que la loi n°78-17 du 6 janvier 1978 relative à l’informatique, aux fichiers et aux libertés, modifiée.</w:t>
      </w:r>
    </w:p>
    <w:p w14:paraId="6B507152" w14:textId="77777777" w:rsidR="007C336C" w:rsidRPr="00D915EE" w:rsidRDefault="007C336C" w:rsidP="007C336C">
      <w:pPr>
        <w:spacing w:before="120"/>
        <w:ind w:left="851"/>
      </w:pPr>
      <w:r w:rsidRPr="00D915EE">
        <w:t>Le sous-traitant (cette notion s’entendant dans le présent article exclusivement au sens de sa définition dans le RGPD) est autorisé à traiter les données à caractère personnel nécessaires pour fournir le service définis dans le présent contrat.</w:t>
      </w:r>
    </w:p>
    <w:p w14:paraId="08183760" w14:textId="77777777" w:rsidR="007C336C" w:rsidRPr="00D915EE" w:rsidRDefault="007C336C" w:rsidP="007C336C">
      <w:pPr>
        <w:spacing w:before="120"/>
        <w:ind w:left="851"/>
      </w:pPr>
      <w:r w:rsidRPr="00D915EE">
        <w:t>L’expression « sous-traitant », pour l’application du présent article, désigne le titulaire du marché.</w:t>
      </w:r>
    </w:p>
    <w:p w14:paraId="24111699" w14:textId="77777777" w:rsidR="007C336C" w:rsidRPr="00D915EE" w:rsidRDefault="007C336C" w:rsidP="007C336C">
      <w:pPr>
        <w:spacing w:before="120"/>
        <w:ind w:left="851"/>
      </w:pPr>
      <w:r w:rsidRPr="00D915EE">
        <w:t>L’expression « le responsable du traitement » est le pouvoir adjudicateur.</w:t>
      </w:r>
    </w:p>
    <w:p w14:paraId="3E9CB251" w14:textId="77777777" w:rsidR="007C336C" w:rsidRPr="00D915EE" w:rsidRDefault="007C336C" w:rsidP="007C336C">
      <w:pPr>
        <w:spacing w:before="120"/>
        <w:ind w:left="851"/>
      </w:pPr>
      <w:r w:rsidRPr="00D915EE">
        <w:t>Les données à caractère personnel traitées sont les données relatives aux établissements qui comportent des données sur les noms, prénoms, coordonnées des interlocuteurs susceptibles d’intervenir en cours d’exécution du marché.</w:t>
      </w:r>
    </w:p>
    <w:p w14:paraId="1C7192E3" w14:textId="77777777" w:rsidR="007C336C" w:rsidRPr="00D915EE" w:rsidRDefault="007C336C" w:rsidP="007C336C">
      <w:pPr>
        <w:spacing w:before="120"/>
        <w:ind w:left="851"/>
      </w:pPr>
      <w:r w:rsidRPr="00D915EE">
        <w:t>Les opérations qui pourront être réalisées sur ces données sont lecture, écriture, transmission, suppression, interrogation, élaboration de statistiques. Enfin les finalités de ce traitement sont les formalités nécessaires au présent marché.</w:t>
      </w:r>
    </w:p>
    <w:p w14:paraId="08799302" w14:textId="5F1198F8" w:rsidR="007C336C" w:rsidRPr="007C336C" w:rsidRDefault="007C336C" w:rsidP="007C336C">
      <w:pPr>
        <w:pStyle w:val="Titre2"/>
        <w:numPr>
          <w:ilvl w:val="0"/>
          <w:numId w:val="5"/>
        </w:numPr>
        <w:rPr>
          <w:rFonts w:asciiTheme="majorHAnsi" w:hAnsiTheme="majorHAnsi" w:cstheme="majorHAnsi"/>
        </w:rPr>
      </w:pPr>
      <w:r w:rsidRPr="007C336C">
        <w:rPr>
          <w:rFonts w:asciiTheme="majorHAnsi" w:hAnsiTheme="majorHAnsi" w:cstheme="majorHAnsi"/>
        </w:rPr>
        <w:t>Obligation du sous-traitant</w:t>
      </w:r>
    </w:p>
    <w:p w14:paraId="3B0968C7" w14:textId="77777777" w:rsidR="007C336C" w:rsidRPr="00D915EE" w:rsidRDefault="007C336C" w:rsidP="007C336C">
      <w:pPr>
        <w:spacing w:before="120"/>
        <w:ind w:left="851"/>
      </w:pPr>
      <w:r w:rsidRPr="00D915EE">
        <w:t>Conformément au RGPD le sous-traitant s’engage à :</w:t>
      </w:r>
    </w:p>
    <w:p w14:paraId="730564D8" w14:textId="77777777" w:rsidR="007C336C" w:rsidRPr="00D915EE" w:rsidRDefault="007C336C" w:rsidP="007C336C">
      <w:pPr>
        <w:numPr>
          <w:ilvl w:val="0"/>
          <w:numId w:val="3"/>
        </w:numPr>
        <w:spacing w:before="120" w:after="0" w:line="240" w:lineRule="auto"/>
        <w:ind w:left="1560"/>
        <w:jc w:val="both"/>
      </w:pPr>
      <w:r w:rsidRPr="00D915EE">
        <w:t>Traiter les données pour les seules finalités qui font l’objet de la sous-traitance ;</w:t>
      </w:r>
    </w:p>
    <w:p w14:paraId="30FAA868" w14:textId="77777777" w:rsidR="007C336C" w:rsidRPr="00D915EE" w:rsidRDefault="007C336C" w:rsidP="007C336C">
      <w:pPr>
        <w:numPr>
          <w:ilvl w:val="0"/>
          <w:numId w:val="3"/>
        </w:numPr>
        <w:spacing w:before="120" w:after="0" w:line="240" w:lineRule="auto"/>
        <w:ind w:left="1560"/>
        <w:jc w:val="both"/>
      </w:pPr>
      <w:r w:rsidRPr="00D915EE">
        <w:t>Traiter les données uniquement pour la durée du marché ;</w:t>
      </w:r>
    </w:p>
    <w:p w14:paraId="1B1B7407" w14:textId="77777777" w:rsidR="007C336C" w:rsidRPr="00D915EE" w:rsidRDefault="007C336C" w:rsidP="007C336C">
      <w:pPr>
        <w:numPr>
          <w:ilvl w:val="0"/>
          <w:numId w:val="3"/>
        </w:numPr>
        <w:spacing w:before="120" w:after="0" w:line="240" w:lineRule="auto"/>
        <w:ind w:left="1560"/>
        <w:jc w:val="both"/>
      </w:pPr>
      <w:r w:rsidRPr="00D915EE">
        <w:t>Traiter les données conformément aux instructions du présent contrat ;</w:t>
      </w:r>
    </w:p>
    <w:p w14:paraId="073EE6A5" w14:textId="77777777" w:rsidR="007C336C" w:rsidRPr="00D915EE" w:rsidRDefault="007C336C" w:rsidP="007C336C">
      <w:pPr>
        <w:numPr>
          <w:ilvl w:val="0"/>
          <w:numId w:val="3"/>
        </w:numPr>
        <w:spacing w:before="120" w:after="0" w:line="240" w:lineRule="auto"/>
        <w:ind w:left="1560"/>
        <w:jc w:val="both"/>
      </w:pPr>
      <w:r w:rsidRPr="00D915EE">
        <w:t>Garantir la confidentialité des données à caractère personnel traitées dans le cadre du présent contrat ;</w:t>
      </w:r>
    </w:p>
    <w:p w14:paraId="132300F7" w14:textId="77777777" w:rsidR="007C336C" w:rsidRPr="00D915EE" w:rsidRDefault="007C336C" w:rsidP="007C336C">
      <w:pPr>
        <w:numPr>
          <w:ilvl w:val="0"/>
          <w:numId w:val="3"/>
        </w:numPr>
        <w:spacing w:before="120" w:after="0" w:line="240" w:lineRule="auto"/>
        <w:ind w:left="1560"/>
        <w:jc w:val="both"/>
      </w:pPr>
      <w:r w:rsidRPr="00D915EE">
        <w:t>Veiller à ce que les personnes autorisées à traiter les données à caractère personnel respectent la confidentialité et la sécurité et reçoivent la formation nécessaire en matière de protection des données à caractère personnel ;</w:t>
      </w:r>
    </w:p>
    <w:p w14:paraId="40E8BFF9" w14:textId="77777777" w:rsidR="007C336C" w:rsidRPr="00D915EE" w:rsidRDefault="007C336C" w:rsidP="007C336C">
      <w:pPr>
        <w:numPr>
          <w:ilvl w:val="0"/>
          <w:numId w:val="3"/>
        </w:numPr>
        <w:spacing w:before="120" w:after="0" w:line="240" w:lineRule="auto"/>
        <w:ind w:left="1560"/>
        <w:jc w:val="both"/>
      </w:pPr>
      <w:r w:rsidRPr="00D915EE">
        <w:lastRenderedPageBreak/>
        <w:t>Signaler immédiatement toute fuite de données.</w:t>
      </w:r>
    </w:p>
    <w:p w14:paraId="2BF2F935" w14:textId="77777777" w:rsidR="00BC5AFF" w:rsidRDefault="00BC5AFF">
      <w:pPr>
        <w:spacing w:after="0"/>
      </w:pPr>
    </w:p>
    <w:sectPr w:rsidR="00BC5AFF">
      <w:headerReference w:type="even" r:id="rId12"/>
      <w:headerReference w:type="default" r:id="rId13"/>
      <w:footerReference w:type="even" r:id="rId14"/>
      <w:footerReference w:type="default" r:id="rId15"/>
      <w:headerReference w:type="first" r:id="rId16"/>
      <w:footerReference w:type="first" r:id="rId17"/>
      <w:pgSz w:w="11900" w:h="16840"/>
      <w:pgMar w:top="281" w:right="1407" w:bottom="1463" w:left="1416" w:header="720" w:footer="71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49991A" w14:textId="77777777" w:rsidR="0065513F" w:rsidRDefault="001C2BDB">
      <w:pPr>
        <w:spacing w:after="0" w:line="240" w:lineRule="auto"/>
      </w:pPr>
      <w:r>
        <w:separator/>
      </w:r>
    </w:p>
  </w:endnote>
  <w:endnote w:type="continuationSeparator" w:id="0">
    <w:p w14:paraId="62EB50A6" w14:textId="77777777" w:rsidR="0065513F" w:rsidRDefault="001C2B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2B9CF9" w14:textId="77777777" w:rsidR="00BC5AFF" w:rsidRDefault="001C2BDB">
    <w:pPr>
      <w:spacing w:after="0"/>
      <w:ind w:right="1"/>
      <w:jc w:val="right"/>
    </w:pPr>
    <w:r>
      <w:fldChar w:fldCharType="begin"/>
    </w:r>
    <w:r>
      <w:instrText xml:space="preserve"> PAGE   \* MERGEFORMAT </w:instrText>
    </w:r>
    <w:r>
      <w:fldChar w:fldCharType="separate"/>
    </w:r>
    <w:r>
      <w:t>1</w:t>
    </w:r>
    <w:r>
      <w:fldChar w:fldCharType="end"/>
    </w:r>
    <w:r>
      <w:t xml:space="preserve"> </w:t>
    </w:r>
  </w:p>
  <w:p w14:paraId="0931C837" w14:textId="77777777" w:rsidR="00BC5AFF" w:rsidRDefault="001C2BDB">
    <w:pPr>
      <w:spacing w:after="0"/>
      <w:ind w:left="2"/>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854540853"/>
      <w:docPartObj>
        <w:docPartGallery w:val="Page Numbers (Bottom of Page)"/>
        <w:docPartUnique/>
      </w:docPartObj>
    </w:sdtPr>
    <w:sdtEndPr>
      <w:rPr>
        <w:color w:val="A6A6A6" w:themeColor="background1" w:themeShade="A6"/>
      </w:rPr>
    </w:sdtEndPr>
    <w:sdtContent>
      <w:p w14:paraId="1A559EB0" w14:textId="2731F23D" w:rsidR="002C7AC8" w:rsidRPr="006A3D9B" w:rsidRDefault="00DC28F5" w:rsidP="002C7AC8">
        <w:pPr>
          <w:widowControl w:val="0"/>
          <w:jc w:val="center"/>
          <w:rPr>
            <w:rFonts w:eastAsia="Courier New" w:cs="Calibri Light"/>
            <w:b/>
            <w:sz w:val="28"/>
            <w:szCs w:val="28"/>
            <w:lang w:bidi="fr-FR"/>
          </w:rPr>
        </w:pPr>
        <w:r w:rsidRPr="00DC28F5">
          <w:rPr>
            <w:noProof/>
            <w:color w:val="A6A6A6" w:themeColor="background1" w:themeShade="A6"/>
            <w:sz w:val="18"/>
            <w:szCs w:val="18"/>
          </w:rPr>
          <mc:AlternateContent>
            <mc:Choice Requires="wps">
              <w:drawing>
                <wp:anchor distT="0" distB="0" distL="114300" distR="114300" simplePos="0" relativeHeight="251659264" behindDoc="0" locked="0" layoutInCell="0" allowOverlap="1" wp14:anchorId="1365E83B" wp14:editId="478AEE68">
                  <wp:simplePos x="0" y="0"/>
                  <wp:positionH relativeFrom="rightMargin">
                    <wp:align>left</wp:align>
                  </wp:positionH>
                  <mc:AlternateContent>
                    <mc:Choice Requires="wp14">
                      <wp:positionV relativeFrom="bottomMargin">
                        <wp14:pctPosVOffset>7000</wp14:pctPosVOffset>
                      </wp:positionV>
                    </mc:Choice>
                    <mc:Fallback>
                      <wp:positionV relativeFrom="page">
                        <wp:posOffset>9829165</wp:posOffset>
                      </wp:positionV>
                    </mc:Fallback>
                  </mc:AlternateContent>
                  <wp:extent cx="368300" cy="274320"/>
                  <wp:effectExtent l="9525" t="9525" r="12700" b="11430"/>
                  <wp:wrapNone/>
                  <wp:docPr id="2" name="Rectangle : carré corné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300" cy="274320"/>
                          </a:xfrm>
                          <a:prstGeom prst="foldedCorner">
                            <a:avLst>
                              <a:gd name="adj" fmla="val 34560"/>
                            </a:avLst>
                          </a:prstGeom>
                          <a:solidFill>
                            <a:srgbClr val="FFFFFF"/>
                          </a:solidFill>
                          <a:ln w="3175">
                            <a:solidFill>
                              <a:srgbClr val="808080"/>
                            </a:solidFill>
                            <a:round/>
                            <a:headEnd/>
                            <a:tailEnd/>
                          </a:ln>
                        </wps:spPr>
                        <wps:txbx>
                          <w:txbxContent>
                            <w:p w14:paraId="37E8F6DB" w14:textId="77777777" w:rsidR="00DC28F5" w:rsidRDefault="00DC28F5">
                              <w:pPr>
                                <w:jc w:val="center"/>
                              </w:pPr>
                              <w:r>
                                <w:fldChar w:fldCharType="begin"/>
                              </w:r>
                              <w:r>
                                <w:instrText>PAGE    \* MERGEFORMAT</w:instrText>
                              </w:r>
                              <w:r>
                                <w:fldChar w:fldCharType="separate"/>
                              </w:r>
                              <w:r>
                                <w:rPr>
                                  <w:sz w:val="16"/>
                                  <w:szCs w:val="16"/>
                                </w:rPr>
                                <w:t>2</w:t>
                              </w:r>
                              <w:r>
                                <w:rPr>
                                  <w:sz w:val="16"/>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65E83B"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Rectangle : carré corné 2" o:spid="_x0000_s1026" type="#_x0000_t65" style="position:absolute;left:0;text-align:left;margin-left:0;margin-top:0;width:29pt;height:21.6pt;z-index:251659264;visibility:visible;mso-wrap-style:square;mso-width-percent:0;mso-height-percent:0;mso-top-percent:70;mso-wrap-distance-left:9pt;mso-wrap-distance-top:0;mso-wrap-distance-right:9pt;mso-wrap-distance-bottom:0;mso-position-horizontal:left;mso-position-horizontal-relative:right-margin-area;mso-position-vertical-relative:bottom-margin-area;mso-width-percent:0;mso-height-percent:0;mso-top-percent:7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" o:allowincell="f" adj="14135" strokecolor="gray" strokeweight=".25pt">
                  <v:textbox>
                    <w:txbxContent>
                      <w:p w14:paraId="37E8F6DB" w14:textId="77777777" w:rsidR="00DC28F5" w:rsidRDefault="00DC28F5">
                        <w:pPr>
                          <w:jc w:val="center"/>
                        </w:pPr>
                        <w:r>
                          <w:fldChar w:fldCharType="begin"/>
                        </w:r>
                        <w:r>
                          <w:instrText>PAGE    \* MERGEFORMAT</w:instrText>
                        </w:r>
                        <w:r>
                          <w:fldChar w:fldCharType="separate"/>
                        </w:r>
                        <w:r>
                          <w:rPr>
                            <w:sz w:val="16"/>
                            <w:szCs w:val="16"/>
                          </w:rPr>
                          <w:t>2</w:t>
                        </w:r>
                        <w:r>
                          <w:rPr>
                            <w:sz w:val="16"/>
                            <w:szCs w:val="16"/>
                          </w:rPr>
                          <w:fldChar w:fldCharType="end"/>
                        </w:r>
                      </w:p>
                    </w:txbxContent>
                  </v:textbox>
                  <w10:wrap anchorx="margin" anchory="margin"/>
                </v:shape>
              </w:pict>
            </mc:Fallback>
          </mc:AlternateContent>
        </w:r>
        <w:r w:rsidRPr="00DC28F5">
          <w:rPr>
            <w:color w:val="A6A6A6" w:themeColor="background1" w:themeShade="A6"/>
            <w:sz w:val="18"/>
            <w:szCs w:val="18"/>
          </w:rPr>
          <w:t xml:space="preserve">Annexe RC </w:t>
        </w:r>
        <w:r w:rsidR="002C7AC8">
          <w:rPr>
            <w:color w:val="A6A6A6" w:themeColor="background1" w:themeShade="A6"/>
            <w:sz w:val="18"/>
            <w:szCs w:val="18"/>
          </w:rPr>
          <w:t xml:space="preserve">- </w:t>
        </w:r>
        <w:bookmarkStart w:id="1" w:name="_GoBack"/>
        <w:bookmarkEnd w:id="1"/>
        <w:r w:rsidR="002C7AC8" w:rsidRPr="002C7AC8">
          <w:rPr>
            <w:color w:val="A6A6A6" w:themeColor="background1" w:themeShade="A6"/>
            <w:sz w:val="18"/>
            <w:szCs w:val="18"/>
          </w:rPr>
          <w:t>Rénovation des salles de bains dans 3 services du site de Vesoul</w:t>
        </w:r>
      </w:p>
      <w:p w14:paraId="3C2A271A" w14:textId="3D568B31" w:rsidR="00BC5AFF" w:rsidRPr="00DC28F5" w:rsidRDefault="002C7AC8">
        <w:pPr>
          <w:spacing w:after="0"/>
          <w:ind w:left="2"/>
          <w:rPr>
            <w:color w:val="A6A6A6" w:themeColor="background1" w:themeShade="A6"/>
            <w:sz w:val="18"/>
            <w:szCs w:val="18"/>
          </w:rPr>
        </w:pP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9EAD5F" w14:textId="77777777" w:rsidR="00BC5AFF" w:rsidRDefault="001C2BDB">
    <w:pPr>
      <w:spacing w:after="0"/>
      <w:ind w:right="1"/>
      <w:jc w:val="right"/>
    </w:pPr>
    <w:r>
      <w:fldChar w:fldCharType="begin"/>
    </w:r>
    <w:r>
      <w:instrText xml:space="preserve"> PAGE   \* MERGEFORMAT </w:instrText>
    </w:r>
    <w:r>
      <w:fldChar w:fldCharType="separate"/>
    </w:r>
    <w:r>
      <w:t>1</w:t>
    </w:r>
    <w:r>
      <w:fldChar w:fldCharType="end"/>
    </w:r>
    <w:r>
      <w:t xml:space="preserve"> </w:t>
    </w:r>
  </w:p>
  <w:p w14:paraId="426E06F4" w14:textId="77777777" w:rsidR="00BC5AFF" w:rsidRDefault="001C2BDB">
    <w:pPr>
      <w:spacing w:after="0"/>
      <w:ind w:left="2"/>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623634" w14:textId="77777777" w:rsidR="0065513F" w:rsidRDefault="001C2BDB">
      <w:pPr>
        <w:spacing w:after="0" w:line="240" w:lineRule="auto"/>
      </w:pPr>
      <w:r>
        <w:separator/>
      </w:r>
    </w:p>
  </w:footnote>
  <w:footnote w:type="continuationSeparator" w:id="0">
    <w:p w14:paraId="4CC1AB36" w14:textId="77777777" w:rsidR="0065513F" w:rsidRDefault="001C2BD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B086" w14:textId="77777777" w:rsidR="002C7AC8" w:rsidRDefault="002C7AC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48C873" w14:textId="77777777" w:rsidR="002C7AC8" w:rsidRDefault="002C7AC8">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688859" w14:textId="77777777" w:rsidR="002C7AC8" w:rsidRDefault="002C7AC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C4833C3"/>
    <w:multiLevelType w:val="hybridMultilevel"/>
    <w:tmpl w:val="07AE0E66"/>
    <w:lvl w:ilvl="0" w:tplc="040C000F">
      <w:start w:val="1"/>
      <w:numFmt w:val="decimal"/>
      <w:lvlText w:val="%1."/>
      <w:lvlJc w:val="left"/>
      <w:pPr>
        <w:ind w:left="720" w:hanging="360"/>
      </w:pPr>
      <w:rPr>
        <w:rFonts w:hint="default"/>
        <w:b w:val="0"/>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58F044CD"/>
    <w:multiLevelType w:val="hybridMultilevel"/>
    <w:tmpl w:val="68B2E25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B273CA3"/>
    <w:multiLevelType w:val="multilevel"/>
    <w:tmpl w:val="5764FC90"/>
    <w:lvl w:ilvl="0">
      <w:start w:val="1"/>
      <w:numFmt w:val="decimal"/>
      <w:lvlText w:val="%1."/>
      <w:lvlJc w:val="left"/>
      <w:pPr>
        <w:ind w:left="347"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33" w:hanging="720"/>
      </w:pPr>
      <w:rPr>
        <w:rFonts w:hint="default"/>
      </w:rPr>
    </w:lvl>
    <w:lvl w:ilvl="3">
      <w:start w:val="1"/>
      <w:numFmt w:val="decimal"/>
      <w:isLgl/>
      <w:lvlText w:val="%1.%2.%3.%4"/>
      <w:lvlJc w:val="left"/>
      <w:pPr>
        <w:ind w:left="746" w:hanging="720"/>
      </w:pPr>
      <w:rPr>
        <w:rFonts w:hint="default"/>
      </w:rPr>
    </w:lvl>
    <w:lvl w:ilvl="4">
      <w:start w:val="1"/>
      <w:numFmt w:val="decimal"/>
      <w:isLgl/>
      <w:lvlText w:val="%1.%2.%3.%4.%5"/>
      <w:lvlJc w:val="left"/>
      <w:pPr>
        <w:ind w:left="1119" w:hanging="1080"/>
      </w:pPr>
      <w:rPr>
        <w:rFonts w:hint="default"/>
      </w:rPr>
    </w:lvl>
    <w:lvl w:ilvl="5">
      <w:start w:val="1"/>
      <w:numFmt w:val="decimal"/>
      <w:isLgl/>
      <w:lvlText w:val="%1.%2.%3.%4.%5.%6"/>
      <w:lvlJc w:val="left"/>
      <w:pPr>
        <w:ind w:left="1132" w:hanging="1080"/>
      </w:pPr>
      <w:rPr>
        <w:rFonts w:hint="default"/>
      </w:rPr>
    </w:lvl>
    <w:lvl w:ilvl="6">
      <w:start w:val="1"/>
      <w:numFmt w:val="decimal"/>
      <w:isLgl/>
      <w:lvlText w:val="%1.%2.%3.%4.%5.%6.%7"/>
      <w:lvlJc w:val="left"/>
      <w:pPr>
        <w:ind w:left="1505" w:hanging="1440"/>
      </w:pPr>
      <w:rPr>
        <w:rFonts w:hint="default"/>
      </w:rPr>
    </w:lvl>
    <w:lvl w:ilvl="7">
      <w:start w:val="1"/>
      <w:numFmt w:val="decimal"/>
      <w:isLgl/>
      <w:lvlText w:val="%1.%2.%3.%4.%5.%6.%7.%8"/>
      <w:lvlJc w:val="left"/>
      <w:pPr>
        <w:ind w:left="1518" w:hanging="1440"/>
      </w:pPr>
      <w:rPr>
        <w:rFonts w:hint="default"/>
      </w:rPr>
    </w:lvl>
    <w:lvl w:ilvl="8">
      <w:start w:val="1"/>
      <w:numFmt w:val="decimal"/>
      <w:isLgl/>
      <w:lvlText w:val="%1.%2.%3.%4.%5.%6.%7.%8.%9"/>
      <w:lvlJc w:val="left"/>
      <w:pPr>
        <w:ind w:left="1891" w:hanging="1800"/>
      </w:pPr>
      <w:rPr>
        <w:rFonts w:hint="default"/>
      </w:rPr>
    </w:lvl>
  </w:abstractNum>
  <w:abstractNum w:abstractNumId="3" w15:restartNumberingAfterBreak="0">
    <w:nsid w:val="62B21B66"/>
    <w:multiLevelType w:val="hybridMultilevel"/>
    <w:tmpl w:val="2746EAAE"/>
    <w:lvl w:ilvl="0" w:tplc="67F0038A">
      <w:start w:val="1"/>
      <w:numFmt w:val="upperRoman"/>
      <w:lvlText w:val="%1."/>
      <w:lvlJc w:val="left"/>
      <w:pPr>
        <w:ind w:left="798" w:hanging="720"/>
      </w:pPr>
      <w:rPr>
        <w:rFonts w:ascii="Arial" w:eastAsia="Arial" w:hAnsi="Arial" w:cs="Arial" w:hint="default"/>
        <w:b/>
        <w:sz w:val="28"/>
      </w:rPr>
    </w:lvl>
    <w:lvl w:ilvl="1" w:tplc="040C0019" w:tentative="1">
      <w:start w:val="1"/>
      <w:numFmt w:val="lowerLetter"/>
      <w:lvlText w:val="%2."/>
      <w:lvlJc w:val="left"/>
      <w:pPr>
        <w:ind w:left="1158" w:hanging="360"/>
      </w:pPr>
    </w:lvl>
    <w:lvl w:ilvl="2" w:tplc="040C001B" w:tentative="1">
      <w:start w:val="1"/>
      <w:numFmt w:val="lowerRoman"/>
      <w:lvlText w:val="%3."/>
      <w:lvlJc w:val="right"/>
      <w:pPr>
        <w:ind w:left="1878" w:hanging="180"/>
      </w:pPr>
    </w:lvl>
    <w:lvl w:ilvl="3" w:tplc="040C000F" w:tentative="1">
      <w:start w:val="1"/>
      <w:numFmt w:val="decimal"/>
      <w:lvlText w:val="%4."/>
      <w:lvlJc w:val="left"/>
      <w:pPr>
        <w:ind w:left="2598" w:hanging="360"/>
      </w:pPr>
    </w:lvl>
    <w:lvl w:ilvl="4" w:tplc="040C0019" w:tentative="1">
      <w:start w:val="1"/>
      <w:numFmt w:val="lowerLetter"/>
      <w:lvlText w:val="%5."/>
      <w:lvlJc w:val="left"/>
      <w:pPr>
        <w:ind w:left="3318" w:hanging="360"/>
      </w:pPr>
    </w:lvl>
    <w:lvl w:ilvl="5" w:tplc="040C001B" w:tentative="1">
      <w:start w:val="1"/>
      <w:numFmt w:val="lowerRoman"/>
      <w:lvlText w:val="%6."/>
      <w:lvlJc w:val="right"/>
      <w:pPr>
        <w:ind w:left="4038" w:hanging="180"/>
      </w:pPr>
    </w:lvl>
    <w:lvl w:ilvl="6" w:tplc="040C000F" w:tentative="1">
      <w:start w:val="1"/>
      <w:numFmt w:val="decimal"/>
      <w:lvlText w:val="%7."/>
      <w:lvlJc w:val="left"/>
      <w:pPr>
        <w:ind w:left="4758" w:hanging="360"/>
      </w:pPr>
    </w:lvl>
    <w:lvl w:ilvl="7" w:tplc="040C0019" w:tentative="1">
      <w:start w:val="1"/>
      <w:numFmt w:val="lowerLetter"/>
      <w:lvlText w:val="%8."/>
      <w:lvlJc w:val="left"/>
      <w:pPr>
        <w:ind w:left="5478" w:hanging="360"/>
      </w:pPr>
    </w:lvl>
    <w:lvl w:ilvl="8" w:tplc="040C001B" w:tentative="1">
      <w:start w:val="1"/>
      <w:numFmt w:val="lowerRoman"/>
      <w:lvlText w:val="%9."/>
      <w:lvlJc w:val="right"/>
      <w:pPr>
        <w:ind w:left="6198" w:hanging="180"/>
      </w:pPr>
    </w:lvl>
  </w:abstractNum>
  <w:abstractNum w:abstractNumId="4" w15:restartNumberingAfterBreak="0">
    <w:nsid w:val="796D1B0A"/>
    <w:multiLevelType w:val="multilevel"/>
    <w:tmpl w:val="BB8686B4"/>
    <w:lvl w:ilvl="0">
      <w:start w:val="1"/>
      <w:numFmt w:val="decimal"/>
      <w:pStyle w:val="Article"/>
      <w:lvlText w:val="Article %1."/>
      <w:lvlJc w:val="left"/>
      <w:pPr>
        <w:tabs>
          <w:tab w:val="num" w:pos="2127"/>
        </w:tabs>
        <w:ind w:left="2127" w:hanging="1418"/>
      </w:pPr>
      <w:rPr>
        <w:rFonts w:ascii="Calibri" w:hAnsi="Calibri" w:hint="default"/>
        <w:b/>
        <w:bCs w:val="0"/>
        <w:i w:val="0"/>
        <w:iCs w:val="0"/>
        <w:sz w:val="28"/>
        <w:szCs w:val="20"/>
      </w:rPr>
    </w:lvl>
    <w:lvl w:ilvl="1">
      <w:start w:val="1"/>
      <w:numFmt w:val="decimal"/>
      <w:pStyle w:val="Sous-article"/>
      <w:lvlText w:val="%1.%2. "/>
      <w:lvlJc w:val="left"/>
      <w:pPr>
        <w:tabs>
          <w:tab w:val="num" w:pos="-283"/>
        </w:tabs>
        <w:ind w:left="-283" w:hanging="567"/>
      </w:pPr>
      <w:rPr>
        <w:rFonts w:cs="Times New Roman"/>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pStyle w:val="Sous-sous-article"/>
      <w:lvlText w:val="%1.%2.%3"/>
      <w:lvlJc w:val="left"/>
      <w:pPr>
        <w:tabs>
          <w:tab w:val="num" w:pos="425"/>
        </w:tabs>
        <w:ind w:left="425" w:hanging="708"/>
      </w:pPr>
      <w:rPr>
        <w:rFonts w:hint="default"/>
      </w:rPr>
    </w:lvl>
    <w:lvl w:ilvl="3">
      <w:start w:val="1"/>
      <w:numFmt w:val="decimal"/>
      <w:lvlText w:val="%4 -"/>
      <w:lvlJc w:val="left"/>
      <w:pPr>
        <w:tabs>
          <w:tab w:val="num" w:pos="284"/>
        </w:tabs>
        <w:ind w:left="284" w:hanging="284"/>
      </w:pPr>
      <w:rPr>
        <w:rFonts w:hint="default"/>
        <w:b/>
        <w:i w:val="0"/>
        <w:sz w:val="20"/>
      </w:rPr>
    </w:lvl>
    <w:lvl w:ilvl="4">
      <w:start w:val="1"/>
      <w:numFmt w:val="decimal"/>
      <w:lvlText w:val="%5"/>
      <w:lvlJc w:val="left"/>
      <w:pPr>
        <w:tabs>
          <w:tab w:val="num" w:pos="284"/>
        </w:tabs>
        <w:ind w:left="284" w:hanging="284"/>
      </w:pPr>
      <w:rPr>
        <w:rFonts w:hint="default"/>
      </w:rPr>
    </w:lvl>
    <w:lvl w:ilvl="5">
      <w:start w:val="1"/>
      <w:numFmt w:val="lowerRoman"/>
      <w:lvlText w:val="(%6)"/>
      <w:lvlJc w:val="left"/>
      <w:pPr>
        <w:tabs>
          <w:tab w:val="num" w:pos="1026"/>
        </w:tabs>
        <w:ind w:left="1026" w:hanging="360"/>
      </w:pPr>
      <w:rPr>
        <w:rFonts w:hint="default"/>
      </w:rPr>
    </w:lvl>
    <w:lvl w:ilvl="6">
      <w:start w:val="1"/>
      <w:numFmt w:val="decimal"/>
      <w:lvlText w:val="%7."/>
      <w:lvlJc w:val="left"/>
      <w:pPr>
        <w:tabs>
          <w:tab w:val="num" w:pos="1386"/>
        </w:tabs>
        <w:ind w:left="1386" w:hanging="360"/>
      </w:pPr>
      <w:rPr>
        <w:rFonts w:hint="default"/>
      </w:rPr>
    </w:lvl>
    <w:lvl w:ilvl="7">
      <w:start w:val="1"/>
      <w:numFmt w:val="lowerLetter"/>
      <w:lvlText w:val="%8."/>
      <w:lvlJc w:val="left"/>
      <w:pPr>
        <w:tabs>
          <w:tab w:val="num" w:pos="1746"/>
        </w:tabs>
        <w:ind w:left="1746" w:hanging="360"/>
      </w:pPr>
      <w:rPr>
        <w:rFonts w:hint="default"/>
      </w:rPr>
    </w:lvl>
    <w:lvl w:ilvl="8">
      <w:start w:val="1"/>
      <w:numFmt w:val="lowerRoman"/>
      <w:lvlText w:val="%9."/>
      <w:lvlJc w:val="left"/>
      <w:pPr>
        <w:tabs>
          <w:tab w:val="num" w:pos="2106"/>
        </w:tabs>
        <w:ind w:left="2106" w:hanging="360"/>
      </w:pPr>
      <w:rPr>
        <w:rFonts w:hint="default"/>
      </w:r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5AFF"/>
    <w:rsid w:val="00175EE1"/>
    <w:rsid w:val="001C2BDB"/>
    <w:rsid w:val="002C7AC8"/>
    <w:rsid w:val="003312ED"/>
    <w:rsid w:val="00392DEA"/>
    <w:rsid w:val="00447987"/>
    <w:rsid w:val="004D720D"/>
    <w:rsid w:val="005449E9"/>
    <w:rsid w:val="005C5BFE"/>
    <w:rsid w:val="005D4F23"/>
    <w:rsid w:val="00603D40"/>
    <w:rsid w:val="0065513F"/>
    <w:rsid w:val="007C336C"/>
    <w:rsid w:val="008253CE"/>
    <w:rsid w:val="008E4897"/>
    <w:rsid w:val="00913885"/>
    <w:rsid w:val="009D75A3"/>
    <w:rsid w:val="00B70817"/>
    <w:rsid w:val="00BA75CB"/>
    <w:rsid w:val="00BC5AFF"/>
    <w:rsid w:val="00C175E9"/>
    <w:rsid w:val="00D03198"/>
    <w:rsid w:val="00D90ADD"/>
    <w:rsid w:val="00DC28F5"/>
    <w:rsid w:val="00E22DC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CF1EEB9"/>
  <w15:docId w15:val="{0097F72E-E040-4553-B511-90796CDAB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Calibri" w:eastAsia="Calibri" w:hAnsi="Calibri" w:cs="Calibri"/>
      <w:color w:val="000000"/>
    </w:rPr>
  </w:style>
  <w:style w:type="paragraph" w:styleId="Titre1">
    <w:name w:val="heading 1"/>
    <w:next w:val="Normal"/>
    <w:link w:val="Titre1Car"/>
    <w:uiPriority w:val="9"/>
    <w:qFormat/>
    <w:pPr>
      <w:keepNext/>
      <w:keepLines/>
      <w:spacing w:after="10" w:line="231" w:lineRule="auto"/>
      <w:ind w:left="2013" w:right="2015" w:hanging="2011"/>
      <w:outlineLvl w:val="0"/>
    </w:pPr>
    <w:rPr>
      <w:rFonts w:ascii="Calibri" w:eastAsia="Calibri" w:hAnsi="Calibri" w:cs="Calibri"/>
      <w:b/>
      <w:color w:val="0070C0"/>
      <w:sz w:val="32"/>
      <w:u w:val="single" w:color="0070C0"/>
    </w:rPr>
  </w:style>
  <w:style w:type="paragraph" w:styleId="Titre2">
    <w:name w:val="heading 2"/>
    <w:next w:val="Normal"/>
    <w:link w:val="Titre2Car"/>
    <w:uiPriority w:val="9"/>
    <w:unhideWhenUsed/>
    <w:qFormat/>
    <w:pPr>
      <w:keepNext/>
      <w:keepLines/>
      <w:spacing w:after="5" w:line="250" w:lineRule="auto"/>
      <w:ind w:left="12" w:hanging="10"/>
      <w:outlineLvl w:val="1"/>
    </w:pPr>
    <w:rPr>
      <w:rFonts w:ascii="Arial" w:eastAsia="Arial" w:hAnsi="Arial" w:cs="Arial"/>
      <w:b/>
      <w:color w:val="FF6500"/>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link w:val="Titre2"/>
    <w:rPr>
      <w:rFonts w:ascii="Arial" w:eastAsia="Arial" w:hAnsi="Arial" w:cs="Arial"/>
      <w:b/>
      <w:color w:val="FF6500"/>
      <w:sz w:val="24"/>
    </w:rPr>
  </w:style>
  <w:style w:type="character" w:customStyle="1" w:styleId="Titre1Car">
    <w:name w:val="Titre 1 Car"/>
    <w:link w:val="Titre1"/>
    <w:rPr>
      <w:rFonts w:ascii="Calibri" w:eastAsia="Calibri" w:hAnsi="Calibri" w:cs="Calibri"/>
      <w:b/>
      <w:color w:val="0070C0"/>
      <w:sz w:val="32"/>
      <w:u w:val="single" w:color="0070C0"/>
    </w:rPr>
  </w:style>
  <w:style w:type="character" w:styleId="Lienhypertexte">
    <w:name w:val="Hyperlink"/>
    <w:basedOn w:val="Policepardfaut"/>
    <w:uiPriority w:val="99"/>
    <w:unhideWhenUsed/>
    <w:rsid w:val="00175EE1"/>
    <w:rPr>
      <w:color w:val="0563C1" w:themeColor="hyperlink"/>
      <w:u w:val="single"/>
    </w:rPr>
  </w:style>
  <w:style w:type="character" w:styleId="Mentionnonrsolue">
    <w:name w:val="Unresolved Mention"/>
    <w:basedOn w:val="Policepardfaut"/>
    <w:uiPriority w:val="99"/>
    <w:semiHidden/>
    <w:unhideWhenUsed/>
    <w:rsid w:val="00175EE1"/>
    <w:rPr>
      <w:color w:val="605E5C"/>
      <w:shd w:val="clear" w:color="auto" w:fill="E1DFDD"/>
    </w:rPr>
  </w:style>
  <w:style w:type="paragraph" w:styleId="En-tte">
    <w:name w:val="header"/>
    <w:basedOn w:val="Normal"/>
    <w:link w:val="En-tteCar"/>
    <w:uiPriority w:val="99"/>
    <w:unhideWhenUsed/>
    <w:rsid w:val="00DC28F5"/>
    <w:pPr>
      <w:tabs>
        <w:tab w:val="center" w:pos="4536"/>
        <w:tab w:val="right" w:pos="9072"/>
      </w:tabs>
      <w:spacing w:after="0" w:line="240" w:lineRule="auto"/>
    </w:pPr>
  </w:style>
  <w:style w:type="character" w:customStyle="1" w:styleId="En-tteCar">
    <w:name w:val="En-tête Car"/>
    <w:basedOn w:val="Policepardfaut"/>
    <w:link w:val="En-tte"/>
    <w:uiPriority w:val="99"/>
    <w:rsid w:val="00DC28F5"/>
    <w:rPr>
      <w:rFonts w:ascii="Calibri" w:eastAsia="Calibri" w:hAnsi="Calibri" w:cs="Calibri"/>
      <w:color w:val="000000"/>
    </w:rPr>
  </w:style>
  <w:style w:type="paragraph" w:styleId="Paragraphedeliste">
    <w:name w:val="List Paragraph"/>
    <w:basedOn w:val="Normal"/>
    <w:uiPriority w:val="34"/>
    <w:qFormat/>
    <w:rsid w:val="007C336C"/>
    <w:pPr>
      <w:ind w:left="720"/>
      <w:contextualSpacing/>
    </w:pPr>
  </w:style>
  <w:style w:type="paragraph" w:customStyle="1" w:styleId="Article">
    <w:name w:val="Article"/>
    <w:basedOn w:val="Normal"/>
    <w:qFormat/>
    <w:rsid w:val="007C336C"/>
    <w:pPr>
      <w:numPr>
        <w:numId w:val="2"/>
      </w:numPr>
      <w:spacing w:before="240" w:after="240" w:line="240" w:lineRule="auto"/>
      <w:jc w:val="both"/>
    </w:pPr>
    <w:rPr>
      <w:rFonts w:ascii="Calibri Light" w:eastAsia="Times New Roman" w:hAnsi="Calibri Light" w:cs="Times New Roman"/>
      <w:b/>
      <w:color w:val="7B7B7B" w:themeColor="accent3" w:themeShade="BF"/>
      <w:sz w:val="28"/>
      <w:szCs w:val="28"/>
    </w:rPr>
  </w:style>
  <w:style w:type="paragraph" w:customStyle="1" w:styleId="Sous-article">
    <w:name w:val="Sous-article"/>
    <w:basedOn w:val="Normal"/>
    <w:qFormat/>
    <w:rsid w:val="007C336C"/>
    <w:pPr>
      <w:numPr>
        <w:ilvl w:val="1"/>
        <w:numId w:val="2"/>
      </w:numPr>
      <w:spacing w:before="240" w:after="120" w:line="240" w:lineRule="auto"/>
      <w:jc w:val="both"/>
      <w:outlineLvl w:val="2"/>
    </w:pPr>
    <w:rPr>
      <w:rFonts w:asciiTheme="minorHAnsi" w:eastAsia="Times New Roman" w:hAnsiTheme="minorHAnsi" w:cs="Times New Roman"/>
      <w:b/>
      <w:color w:val="auto"/>
      <w:szCs w:val="24"/>
    </w:rPr>
  </w:style>
  <w:style w:type="paragraph" w:customStyle="1" w:styleId="Sous-sous-article">
    <w:name w:val="Sous-sous-article"/>
    <w:basedOn w:val="Sous-article"/>
    <w:rsid w:val="007C336C"/>
    <w:pPr>
      <w:numPr>
        <w:ilvl w:val="2"/>
      </w:numPr>
    </w:pPr>
    <w:rPr>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arches-publics.gouv.fr/?page=entreprise.EntrepriseGuide"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marchespublics.gouv.f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marches-publics.gouv.fr" TargetMode="Externa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97B1D7-77C2-4DFA-AA1E-F25601CE10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5</Pages>
  <Words>1615</Words>
  <Characters>8883</Characters>
  <Application>Microsoft Office Word</Application>
  <DocSecurity>0</DocSecurity>
  <Lines>74</Lines>
  <Paragraphs>20</Paragraphs>
  <ScaleCrop>false</ScaleCrop>
  <HeadingPairs>
    <vt:vector size="2" baseType="variant">
      <vt:variant>
        <vt:lpstr>Titre</vt:lpstr>
      </vt:variant>
      <vt:variant>
        <vt:i4>1</vt:i4>
      </vt:variant>
    </vt:vector>
  </HeadingPairs>
  <TitlesOfParts>
    <vt:vector size="1" baseType="lpstr">
      <vt:lpstr>Annexe RC V2020</vt:lpstr>
    </vt:vector>
  </TitlesOfParts>
  <Company/>
  <LinksUpToDate>false</LinksUpToDate>
  <CharactersWithSpaces>10478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Annexe RC V2020</dc:title>
  <dc:subject/>
  <dc:creator>ljeanguenin</dc:creator>
  <cp:keywords/>
  <cp:lastModifiedBy>Valentine Tailhardat</cp:lastModifiedBy>
  <cp:revision>22</cp:revision>
  <cp:lastPrinted>2025-04-08T08:09:00Z</cp:lastPrinted>
  <dcterms:created xsi:type="dcterms:W3CDTF">2025-04-08T07:58:00Z</dcterms:created>
  <dcterms:modified xsi:type="dcterms:W3CDTF">2025-07-25T08:14:00Z</dcterms:modified>
</cp:coreProperties>
</file>